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EB62C" w14:textId="77777777" w:rsidR="0025562C" w:rsidRDefault="0025562C" w:rsidP="00295D3B"/>
    <w:p w14:paraId="4A6F98E4" w14:textId="77777777" w:rsidR="0065419A" w:rsidRDefault="0065419A" w:rsidP="00297638"/>
    <w:p w14:paraId="2FD20C7E" w14:textId="77777777" w:rsidR="00DC25CE" w:rsidRPr="00DC25CE" w:rsidRDefault="00DC25CE" w:rsidP="00DC25CE">
      <w:pPr>
        <w:pStyle w:val="Sansinterligne"/>
        <w:rPr>
          <w:rFonts w:ascii="Tahoma" w:hAnsi="Tahoma" w:cs="Tahoma"/>
          <w:b/>
          <w: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DC25CE" w:rsidRPr="00DC25CE" w14:paraId="398BC961" w14:textId="77777777" w:rsidTr="00C65405">
        <w:trPr>
          <w:jc w:val="center"/>
        </w:trPr>
        <w:tc>
          <w:tcPr>
            <w:tcW w:w="9212" w:type="dxa"/>
          </w:tcPr>
          <w:p w14:paraId="2835F885" w14:textId="2DB92458" w:rsidR="00DC25CE" w:rsidRPr="00DC25CE" w:rsidRDefault="005F599D" w:rsidP="00C65405">
            <w:pPr>
              <w:pStyle w:val="Sansinterligne"/>
              <w:jc w:val="center"/>
              <w:rPr>
                <w:rFonts w:ascii="Tahoma" w:hAnsi="Tahoma" w:cs="Tahoma"/>
                <w:b/>
                <w:sz w:val="28"/>
                <w:szCs w:val="24"/>
              </w:rPr>
            </w:pPr>
            <w:r w:rsidRPr="005F599D">
              <w:rPr>
                <w:rFonts w:ascii="Tahoma" w:hAnsi="Tahoma" w:cs="Tahoma"/>
                <w:b/>
                <w:sz w:val="28"/>
                <w:szCs w:val="24"/>
              </w:rPr>
              <w:t>CCTP Type - Plancher Prédalles KP1</w:t>
            </w:r>
          </w:p>
        </w:tc>
      </w:tr>
    </w:tbl>
    <w:p w14:paraId="31504D50" w14:textId="77777777" w:rsidR="00C6348A" w:rsidRDefault="00C6348A" w:rsidP="00297638"/>
    <w:p w14:paraId="70B2CB41" w14:textId="77777777" w:rsidR="00C6348A" w:rsidRPr="00DC25CE" w:rsidRDefault="00C6348A" w:rsidP="00297638">
      <w:pPr>
        <w:rPr>
          <w:color w:val="002060"/>
        </w:rPr>
      </w:pPr>
    </w:p>
    <w:p w14:paraId="747AB182" w14:textId="77777777" w:rsidR="00DC25CE" w:rsidRPr="00DC25CE" w:rsidRDefault="00DC25CE" w:rsidP="00DC25CE">
      <w:pPr>
        <w:pStyle w:val="Sansinterligne"/>
        <w:rPr>
          <w:rFonts w:ascii="Tahoma" w:hAnsi="Tahoma" w:cs="Tahoma"/>
          <w:b/>
          <w:color w:val="002060"/>
          <w:szCs w:val="24"/>
        </w:rPr>
      </w:pPr>
      <w:r w:rsidRPr="00DC25CE">
        <w:rPr>
          <w:rFonts w:ascii="Tahoma" w:hAnsi="Tahoma" w:cs="Tahoma"/>
          <w:b/>
          <w:color w:val="002060"/>
          <w:szCs w:val="24"/>
        </w:rPr>
        <w:t>Descriptif succinct (pour DPGF) :</w:t>
      </w:r>
    </w:p>
    <w:p w14:paraId="21F8C330" w14:textId="77777777" w:rsidR="00DC25CE" w:rsidRPr="00DC25CE" w:rsidRDefault="00DC25CE" w:rsidP="00DC25CE">
      <w:pPr>
        <w:pStyle w:val="Sansinterligne"/>
        <w:rPr>
          <w:rFonts w:ascii="Tahoma" w:hAnsi="Tahoma" w:cs="Tahoma"/>
          <w:color w:val="002060"/>
          <w:szCs w:val="24"/>
        </w:rPr>
      </w:pPr>
    </w:p>
    <w:p w14:paraId="376C8B93" w14:textId="4D6C117E" w:rsidR="00A91557" w:rsidRPr="005F599D" w:rsidRDefault="005F599D" w:rsidP="00DC25CE">
      <w:pPr>
        <w:pStyle w:val="Sansinterligne"/>
        <w:rPr>
          <w:rFonts w:ascii="Tahoma" w:hAnsi="Tahoma" w:cs="Tahoma"/>
          <w:color w:val="002060"/>
        </w:rPr>
      </w:pPr>
      <w:r w:rsidRPr="005F599D">
        <w:rPr>
          <w:rFonts w:ascii="Tahoma" w:hAnsi="Tahoma" w:cs="Tahoma"/>
          <w:color w:val="002060"/>
        </w:rPr>
        <w:t xml:space="preserve">Plancher béton épaisseur XX cm avec Prédalles préfabriquées en béton précontraint KP1. </w:t>
      </w:r>
    </w:p>
    <w:p w14:paraId="18CDF05E" w14:textId="77777777" w:rsidR="00B96FB5" w:rsidRDefault="00B96FB5" w:rsidP="00DC25CE">
      <w:pPr>
        <w:pStyle w:val="Sansinterligne"/>
        <w:rPr>
          <w:rFonts w:ascii="Tahoma" w:hAnsi="Tahoma" w:cs="Tahoma"/>
          <w:b/>
          <w:i/>
          <w:color w:val="FF0000"/>
          <w:szCs w:val="24"/>
        </w:rPr>
      </w:pPr>
    </w:p>
    <w:p w14:paraId="5CB6A72E" w14:textId="0CBE63CA" w:rsidR="00DC25CE" w:rsidRPr="00DC25CE" w:rsidRDefault="00DC25CE" w:rsidP="00DC25CE">
      <w:pPr>
        <w:pStyle w:val="Sansinterligne"/>
        <w:rPr>
          <w:rFonts w:ascii="Tahoma" w:hAnsi="Tahoma" w:cs="Tahoma"/>
          <w:b/>
          <w:szCs w:val="24"/>
        </w:rPr>
      </w:pPr>
      <w:r w:rsidRPr="00DC25CE">
        <w:rPr>
          <w:rFonts w:ascii="Tahoma" w:hAnsi="Tahoma" w:cs="Tahoma"/>
          <w:b/>
          <w:szCs w:val="24"/>
        </w:rPr>
        <w:t>Descriptif Détaillé (pour CCTP) :</w:t>
      </w:r>
    </w:p>
    <w:p w14:paraId="09D7B316" w14:textId="77777777" w:rsidR="00DC25CE" w:rsidRPr="00DC25CE" w:rsidRDefault="00DC25CE" w:rsidP="00DC25CE">
      <w:pPr>
        <w:pStyle w:val="Sansinterligne"/>
        <w:rPr>
          <w:rFonts w:ascii="Tahoma" w:hAnsi="Tahoma" w:cs="Tahoma"/>
          <w:sz w:val="18"/>
        </w:rPr>
      </w:pPr>
    </w:p>
    <w:p w14:paraId="32FE07F8" w14:textId="77777777" w:rsidR="00DC25CE" w:rsidRPr="00DC25CE" w:rsidRDefault="00DC25CE" w:rsidP="00DC25CE">
      <w:pPr>
        <w:pStyle w:val="Sansinterligne"/>
        <w:jc w:val="both"/>
        <w:rPr>
          <w:rFonts w:ascii="Tahoma" w:hAnsi="Tahoma" w:cs="Tahoma"/>
          <w:b/>
        </w:rPr>
      </w:pPr>
      <w:r w:rsidRPr="00DC25CE">
        <w:rPr>
          <w:rFonts w:ascii="Tahoma" w:hAnsi="Tahoma" w:cs="Tahoma"/>
          <w:b/>
          <w:highlight w:val="cyan"/>
        </w:rPr>
        <w:t>Lots gros œuvre</w:t>
      </w:r>
      <w:r w:rsidRPr="00DC25CE">
        <w:rPr>
          <w:rFonts w:ascii="Tahoma" w:hAnsi="Tahoma" w:cs="Tahoma"/>
          <w:b/>
        </w:rPr>
        <w:t xml:space="preserve"> </w:t>
      </w:r>
    </w:p>
    <w:p w14:paraId="568478AE" w14:textId="77777777" w:rsidR="00DC25CE" w:rsidRPr="00DC25CE" w:rsidRDefault="00DC25CE" w:rsidP="00DC25CE">
      <w:pPr>
        <w:pStyle w:val="Sansinterligne"/>
        <w:jc w:val="both"/>
        <w:rPr>
          <w:rFonts w:ascii="Tahoma" w:hAnsi="Tahoma" w:cs="Tahoma"/>
        </w:rPr>
      </w:pPr>
    </w:p>
    <w:p w14:paraId="181E9FB2" w14:textId="63DCD957" w:rsidR="005F599D" w:rsidRPr="005F599D" w:rsidRDefault="005F599D" w:rsidP="005F599D">
      <w:pPr>
        <w:rPr>
          <w:rFonts w:ascii="Tahoma" w:eastAsia="Times New Roman" w:hAnsi="Tahoma" w:cs="Tahoma"/>
          <w:lang w:eastAsia="fr-FR"/>
        </w:rPr>
      </w:pPr>
      <w:r w:rsidRPr="005F599D">
        <w:rPr>
          <w:rFonts w:ascii="Tahoma" w:eastAsia="Times New Roman" w:hAnsi="Tahoma" w:cs="Tahoma"/>
          <w:lang w:eastAsia="fr-FR"/>
        </w:rPr>
        <w:t>Mise en œuvre d’un plancher à Prédalles préfabriquées en béton précontraint, d’une épaisseur suivant charges et portées.</w:t>
      </w:r>
    </w:p>
    <w:p w14:paraId="69E12576" w14:textId="77777777" w:rsidR="005F599D" w:rsidRPr="005F599D" w:rsidRDefault="005F599D" w:rsidP="005F599D">
      <w:pPr>
        <w:rPr>
          <w:rFonts w:ascii="Tahoma" w:eastAsia="Times New Roman" w:hAnsi="Tahoma" w:cs="Tahoma"/>
          <w:sz w:val="22"/>
          <w:szCs w:val="22"/>
          <w:lang w:eastAsia="fr-FR"/>
        </w:rPr>
      </w:pPr>
    </w:p>
    <w:p w14:paraId="7D6709BD" w14:textId="77777777" w:rsidR="005F599D" w:rsidRPr="005F599D" w:rsidRDefault="005F599D" w:rsidP="005F599D">
      <w:pPr>
        <w:rPr>
          <w:rFonts w:ascii="Tahoma" w:eastAsia="Times New Roman" w:hAnsi="Tahoma" w:cs="Tahoma"/>
          <w:sz w:val="22"/>
          <w:szCs w:val="22"/>
          <w:lang w:eastAsia="fr-FR"/>
        </w:rPr>
      </w:pPr>
      <w:r w:rsidRPr="005F599D">
        <w:rPr>
          <w:rFonts w:ascii="Tahoma" w:eastAsia="Times New Roman" w:hAnsi="Tahoma" w:cs="Tahoma"/>
          <w:sz w:val="22"/>
          <w:szCs w:val="22"/>
          <w:lang w:eastAsia="fr-FR"/>
        </w:rPr>
        <w:t xml:space="preserve">Le plancher sera constitué de prédalles précontraintes KP1 ou similaires et d’une dalle de compression coulée en œuvre et ferraillée suivant les préconisations du fabricant et du Bureau d’Etudes Techniques en charge du projet. </w:t>
      </w:r>
    </w:p>
    <w:p w14:paraId="74ED8ABF" w14:textId="77777777" w:rsidR="005F599D" w:rsidRPr="005F599D" w:rsidRDefault="005F599D" w:rsidP="005F599D">
      <w:pPr>
        <w:rPr>
          <w:rFonts w:ascii="Tahoma" w:eastAsia="Times New Roman" w:hAnsi="Tahoma" w:cs="Tahoma"/>
          <w:sz w:val="22"/>
          <w:szCs w:val="22"/>
          <w:lang w:eastAsia="fr-FR"/>
        </w:rPr>
      </w:pPr>
    </w:p>
    <w:p w14:paraId="57F0C197" w14:textId="77777777" w:rsidR="005F599D" w:rsidRPr="005F599D" w:rsidRDefault="005F599D" w:rsidP="005F599D">
      <w:pPr>
        <w:rPr>
          <w:rFonts w:ascii="Tahoma" w:eastAsia="Times New Roman" w:hAnsi="Tahoma" w:cs="Tahoma"/>
          <w:sz w:val="22"/>
          <w:szCs w:val="22"/>
          <w:lang w:eastAsia="fr-FR"/>
        </w:rPr>
      </w:pPr>
      <w:r w:rsidRPr="005F599D">
        <w:rPr>
          <w:rFonts w:ascii="Tahoma" w:eastAsia="Times New Roman" w:hAnsi="Tahoma" w:cs="Tahoma"/>
          <w:sz w:val="22"/>
          <w:szCs w:val="22"/>
          <w:lang w:eastAsia="fr-FR"/>
        </w:rPr>
        <w:t>Les incorporations à la charge du lot électricité (descentes de cloisons, pots électriques, etc.) seront intégrées directement par le fabricant sur la base des plans fournis dans le délai imparti.</w:t>
      </w:r>
    </w:p>
    <w:p w14:paraId="4A3F8F9A" w14:textId="77777777" w:rsidR="005F599D" w:rsidRPr="005F599D" w:rsidRDefault="005F599D" w:rsidP="005F599D">
      <w:pPr>
        <w:rPr>
          <w:rFonts w:ascii="Tahoma" w:eastAsia="Times New Roman" w:hAnsi="Tahoma" w:cs="Tahoma"/>
          <w:sz w:val="22"/>
          <w:szCs w:val="22"/>
          <w:lang w:eastAsia="fr-FR"/>
        </w:rPr>
      </w:pPr>
    </w:p>
    <w:p w14:paraId="0374E74F" w14:textId="77777777" w:rsidR="005F599D" w:rsidRPr="005F599D" w:rsidRDefault="005F599D" w:rsidP="005F599D">
      <w:pPr>
        <w:rPr>
          <w:rFonts w:ascii="Tahoma" w:eastAsia="Times New Roman" w:hAnsi="Tahoma" w:cs="Tahoma"/>
          <w:sz w:val="22"/>
          <w:szCs w:val="22"/>
          <w:lang w:eastAsia="fr-FR"/>
        </w:rPr>
      </w:pPr>
      <w:r w:rsidRPr="005F599D">
        <w:rPr>
          <w:rFonts w:ascii="Tahoma" w:eastAsia="Times New Roman" w:hAnsi="Tahoma" w:cs="Tahoma"/>
          <w:sz w:val="22"/>
          <w:szCs w:val="22"/>
          <w:lang w:eastAsia="fr-FR"/>
        </w:rPr>
        <w:t>La pose des prédalles</w:t>
      </w:r>
      <w:r w:rsidRPr="005F599D">
        <w:rPr>
          <w:rFonts w:ascii="Tahoma" w:eastAsia="Times New Roman" w:hAnsi="Tahoma" w:cs="Tahoma"/>
          <w:sz w:val="22"/>
          <w:szCs w:val="22"/>
          <w:vertAlign w:val="superscript"/>
          <w:lang w:eastAsia="fr-FR"/>
        </w:rPr>
        <w:t xml:space="preserve"> </w:t>
      </w:r>
      <w:r w:rsidRPr="005F599D">
        <w:rPr>
          <w:rFonts w:ascii="Tahoma" w:eastAsia="Times New Roman" w:hAnsi="Tahoma" w:cs="Tahoma"/>
          <w:sz w:val="22"/>
          <w:szCs w:val="22"/>
          <w:lang w:eastAsia="fr-FR"/>
        </w:rPr>
        <w:t>sera effectuée en sécurité à l’aide de garde-corps et d’un dispositif d’accueil de potelets adapté type DAK KP1 ou similaire. Ces derniers seront disposés avant le déchargement.</w:t>
      </w:r>
    </w:p>
    <w:p w14:paraId="36DA6571" w14:textId="77777777" w:rsidR="005F599D" w:rsidRPr="005F599D" w:rsidRDefault="005F599D" w:rsidP="005F599D">
      <w:pPr>
        <w:rPr>
          <w:rFonts w:ascii="Tahoma" w:eastAsia="Times New Roman" w:hAnsi="Tahoma" w:cs="Tahoma"/>
          <w:sz w:val="22"/>
          <w:szCs w:val="22"/>
          <w:lang w:eastAsia="fr-FR"/>
        </w:rPr>
      </w:pPr>
    </w:p>
    <w:p w14:paraId="73726C2D" w14:textId="77777777" w:rsidR="005F599D" w:rsidRPr="005F599D" w:rsidRDefault="005F599D" w:rsidP="005F599D">
      <w:pPr>
        <w:rPr>
          <w:rFonts w:ascii="Tahoma" w:eastAsia="Times New Roman" w:hAnsi="Tahoma" w:cs="Tahoma"/>
          <w:bCs/>
          <w:sz w:val="22"/>
          <w:szCs w:val="22"/>
          <w:lang w:eastAsia="fr-FR"/>
        </w:rPr>
      </w:pPr>
      <w:r w:rsidRPr="005F599D">
        <w:rPr>
          <w:rFonts w:ascii="Tahoma" w:eastAsia="Times New Roman" w:hAnsi="Tahoma" w:cs="Tahoma"/>
          <w:bCs/>
          <w:sz w:val="22"/>
          <w:szCs w:val="22"/>
          <w:lang w:eastAsia="fr-FR"/>
        </w:rPr>
        <w:t>La dalle de compression sera conforme en type de béton ainsi qu’en épaisseur à celle déterminée par le bureau d’étude structure.</w:t>
      </w:r>
    </w:p>
    <w:p w14:paraId="07ACE92C" w14:textId="77777777" w:rsidR="005F599D" w:rsidRPr="005F599D" w:rsidRDefault="005F599D" w:rsidP="005F599D">
      <w:pPr>
        <w:rPr>
          <w:rFonts w:ascii="Tahoma" w:eastAsia="Times New Roman" w:hAnsi="Tahoma" w:cs="Tahoma"/>
          <w:bCs/>
          <w:sz w:val="22"/>
          <w:szCs w:val="22"/>
          <w:lang w:eastAsia="fr-FR"/>
        </w:rPr>
      </w:pPr>
    </w:p>
    <w:p w14:paraId="0F79E2FA" w14:textId="77777777" w:rsidR="005F599D" w:rsidRPr="005F599D" w:rsidRDefault="005F599D" w:rsidP="005F599D">
      <w:pPr>
        <w:rPr>
          <w:rFonts w:ascii="Tahoma" w:eastAsia="Times New Roman" w:hAnsi="Tahoma" w:cs="Tahoma"/>
          <w:sz w:val="22"/>
          <w:szCs w:val="22"/>
          <w:lang w:eastAsia="fr-FR"/>
        </w:rPr>
      </w:pPr>
      <w:r w:rsidRPr="005F599D">
        <w:rPr>
          <w:rFonts w:ascii="Tahoma" w:eastAsia="Times New Roman" w:hAnsi="Tahoma" w:cs="Tahoma"/>
          <w:sz w:val="22"/>
          <w:szCs w:val="22"/>
          <w:lang w:eastAsia="fr-FR"/>
        </w:rPr>
        <w:t xml:space="preserve">Les joints entre </w:t>
      </w:r>
      <w:r w:rsidRPr="005F599D">
        <w:rPr>
          <w:rFonts w:ascii="Tahoma" w:eastAsia="Times New Roman" w:hAnsi="Tahoma" w:cs="Tahoma"/>
          <w:bCs/>
          <w:sz w:val="22"/>
          <w:szCs w:val="22"/>
          <w:lang w:eastAsia="fr-FR"/>
        </w:rPr>
        <w:t>Prédalles</w:t>
      </w:r>
      <w:r w:rsidRPr="005F599D">
        <w:rPr>
          <w:rFonts w:ascii="Tahoma" w:eastAsia="Times New Roman" w:hAnsi="Tahoma" w:cs="Tahoma"/>
          <w:bCs/>
          <w:sz w:val="22"/>
          <w:szCs w:val="22"/>
          <w:vertAlign w:val="superscript"/>
          <w:lang w:eastAsia="fr-FR"/>
        </w:rPr>
        <w:t xml:space="preserve"> </w:t>
      </w:r>
      <w:r w:rsidRPr="005F599D">
        <w:rPr>
          <w:rFonts w:ascii="Tahoma" w:eastAsia="Times New Roman" w:hAnsi="Tahoma" w:cs="Tahoma"/>
          <w:sz w:val="22"/>
          <w:szCs w:val="22"/>
          <w:lang w:eastAsia="fr-FR"/>
        </w:rPr>
        <w:t xml:space="preserve">seront réalisés conformément aux préconisations du produit utilisé et selon le DTU 59.1 (NF P 74-201 -1) travaux de peinture des bâtiments. Selon le moment d’exécution des joints, un produit adapté sera utilisé : un produit « rigide » dans le cas d’une mise en œuvre tardive, après l’application des charges et juste avant l’intervention du peintre, ou un produit « souple » dans le cas d’une mise en œuvre dès la fin de la phase Gros Œuvre, après désétaiement du plancher et une fois que le bâtiment est hors d’eau. </w:t>
      </w:r>
    </w:p>
    <w:p w14:paraId="4D6271D1" w14:textId="520547D1" w:rsidR="00B96FB5" w:rsidRPr="00B96FB5" w:rsidRDefault="00B96FB5" w:rsidP="005F599D">
      <w:pPr>
        <w:rPr>
          <w:rFonts w:ascii="Tahoma" w:eastAsia="Times New Roman" w:hAnsi="Tahoma" w:cs="Tahoma"/>
          <w:sz w:val="22"/>
          <w:szCs w:val="22"/>
          <w:lang w:eastAsia="fr-FR"/>
        </w:rPr>
      </w:pPr>
    </w:p>
    <w:p w14:paraId="1579248B" w14:textId="5E9ACB38" w:rsidR="00137EF9" w:rsidRPr="00B96FB5" w:rsidRDefault="00137EF9" w:rsidP="00B96FB5">
      <w:pPr>
        <w:ind w:left="720"/>
        <w:jc w:val="both"/>
        <w:rPr>
          <w:rFonts w:ascii="Tahoma" w:eastAsia="Calibri" w:hAnsi="Tahoma" w:cs="Tahoma"/>
          <w:sz w:val="22"/>
          <w:szCs w:val="22"/>
        </w:rPr>
      </w:pPr>
    </w:p>
    <w:sectPr w:rsidR="00137EF9" w:rsidRPr="00B96FB5" w:rsidSect="00DC25CE">
      <w:headerReference w:type="default" r:id="rId8"/>
      <w:footerReference w:type="default" r:id="rId9"/>
      <w:pgSz w:w="11900" w:h="16840"/>
      <w:pgMar w:top="1417" w:right="1417" w:bottom="1417" w:left="1417" w:header="851"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83DAD" w14:textId="77777777" w:rsidR="00520B9E" w:rsidRDefault="00520B9E" w:rsidP="00A70889">
      <w:r>
        <w:separator/>
      </w:r>
    </w:p>
  </w:endnote>
  <w:endnote w:type="continuationSeparator" w:id="0">
    <w:p w14:paraId="14CC151C" w14:textId="77777777" w:rsidR="00520B9E" w:rsidRDefault="00520B9E" w:rsidP="00A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F8E6" w14:textId="77777777" w:rsidR="00297638" w:rsidRDefault="00C6348A" w:rsidP="00297638">
    <w:pPr>
      <w:pStyle w:val="Pieddepage"/>
      <w:ind w:hanging="426"/>
    </w:pPr>
    <w:r>
      <w:rPr>
        <w:noProof/>
      </w:rPr>
      <mc:AlternateContent>
        <mc:Choice Requires="wps">
          <w:drawing>
            <wp:anchor distT="0" distB="0" distL="114300" distR="114300" simplePos="0" relativeHeight="251659264" behindDoc="0" locked="0" layoutInCell="1" allowOverlap="1" wp14:anchorId="796656BC" wp14:editId="661A5092">
              <wp:simplePos x="0" y="0"/>
              <wp:positionH relativeFrom="column">
                <wp:posOffset>476250</wp:posOffset>
              </wp:positionH>
              <wp:positionV relativeFrom="paragraph">
                <wp:posOffset>159385</wp:posOffset>
              </wp:positionV>
              <wp:extent cx="4229100" cy="4857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229100" cy="485775"/>
                      </a:xfrm>
                      <a:prstGeom prst="rect">
                        <a:avLst/>
                      </a:prstGeom>
                      <a:noFill/>
                      <a:ln w="6350">
                        <a:noFill/>
                      </a:ln>
                    </wps:spPr>
                    <wps:txb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656BC" id="_x0000_t202" coordsize="21600,21600" o:spt="202" path="m,l,21600r21600,l21600,xe">
              <v:stroke joinstyle="miter"/>
              <v:path gradientshapeok="t" o:connecttype="rect"/>
            </v:shapetype>
            <v:shape id="Zone de texte 6" o:spid="_x0000_s1026" type="#_x0000_t202" style="position:absolute;margin-left:37.5pt;margin-top:12.55pt;width:33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xaFwIAACw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eHyXpRjiGJvcTmezaSiTXP421vnvAhoSjIJapCWi&#10;xQ5r5/vUU0popmFVKxWpUZq0Bb35Ok3jD+cIFlcae1xmDZbvtt2wwBbKI+5loafcGb6qsfmaOf/C&#10;LHKM86Ju/TMeUgE2gcGipAL762/3IR+hxyglLWqmoO7nnllBifqhkZS7bDIJIovOZDobo2OvI9vr&#10;iN43D4CyzPCFGB7NkO/VyZQWmneU9zJ0xRDTHHsX1J/MB98rGZ8HF8tlTEJZGebXemN4KB3gDNC+&#10;du/MmgF/j8w9wUldLP9AQ5/bE7Hce5B15CgA3KM64I6SjCwPzydo/tqPWZdHvvgNAAD//wMAUEsD&#10;BBQABgAIAAAAIQBiM2NN4QAAAAkBAAAPAAAAZHJzL2Rvd25yZXYueG1sTI/BTsMwEETvSP0Haytx&#10;o04i0lYhTlVFqpAQHFp64baJ3SQiXofYbQNfz3Kix50Zzb7JN5PtxcWMvnOkIF5EIAzVTnfUKDi+&#10;7x7WIHxA0tg7Mgq+jYdNMbvLMdPuSntzOYRGcAn5DBW0IQyZlL5ujUW/cIMh9k5utBj4HBupR7xy&#10;ue1lEkVLabEj/tDiYMrW1J+Hs1XwUu7ecF8ldv3Tl8+vp+3wdfxIlbqfT9snEMFM4T8Mf/iMDgUz&#10;Ve5M2otewSrlKUFBksYg2F89xixUHIziJcgil7cLil8AAAD//wMAUEsBAi0AFAAGAAgAAAAhALaD&#10;OJL+AAAA4QEAABMAAAAAAAAAAAAAAAAAAAAAAFtDb250ZW50X1R5cGVzXS54bWxQSwECLQAUAAYA&#10;CAAAACEAOP0h/9YAAACUAQAACwAAAAAAAAAAAAAAAAAvAQAAX3JlbHMvLnJlbHNQSwECLQAUAAYA&#10;CAAAACEA3QusWhcCAAAsBAAADgAAAAAAAAAAAAAAAAAuAgAAZHJzL2Uyb0RvYy54bWxQSwECLQAU&#10;AAYACAAAACEAYjNjTeEAAAAJAQAADwAAAAAAAAAAAAAAAABxBAAAZHJzL2Rvd25yZXYueG1sUEsF&#10;BgAAAAAEAAQA8wAAAH8FAAAAAA==&#10;" filled="f" stroked="f" strokeweight=".5pt">
              <v:textbo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v:textbox>
            </v:shape>
          </w:pict>
        </mc:Fallback>
      </mc:AlternateContent>
    </w:r>
    <w:r w:rsidR="0059328D">
      <w:rPr>
        <w:noProof/>
      </w:rPr>
      <w:drawing>
        <wp:inline distT="0" distB="0" distL="0" distR="0" wp14:anchorId="1A91EEFF" wp14:editId="6B8A6D13">
          <wp:extent cx="6953310" cy="6840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1 - bas de page 195mm sans adresse.jpg"/>
                  <pic:cNvPicPr/>
                </pic:nvPicPr>
                <pic:blipFill rotWithShape="1">
                  <a:blip r:embed="rId1">
                    <a:extLst>
                      <a:ext uri="{28A0092B-C50C-407E-A947-70E740481C1C}">
                        <a14:useLocalDpi xmlns:a14="http://schemas.microsoft.com/office/drawing/2010/main" val="0"/>
                      </a:ext>
                    </a:extLst>
                  </a:blip>
                  <a:srcRect l="2237" t="20047" r="1253" b="9306"/>
                  <a:stretch/>
                </pic:blipFill>
                <pic:spPr bwMode="auto">
                  <a:xfrm>
                    <a:off x="0" y="0"/>
                    <a:ext cx="6980731" cy="686697"/>
                  </a:xfrm>
                  <a:prstGeom prst="rect">
                    <a:avLst/>
                  </a:prstGeom>
                  <a:ln>
                    <a:noFill/>
                  </a:ln>
                  <a:extLst>
                    <a:ext uri="{53640926-AAD7-44D8-BBD7-CCE9431645EC}">
                      <a14:shadowObscured xmlns:a14="http://schemas.microsoft.com/office/drawing/2010/main"/>
                    </a:ext>
                  </a:extLst>
                </pic:spPr>
              </pic:pic>
            </a:graphicData>
          </a:graphic>
        </wp:inline>
      </w:drawing>
    </w:r>
  </w:p>
  <w:p w14:paraId="0B3C6068" w14:textId="77777777" w:rsidR="00A70889" w:rsidRDefault="00A708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9CB8" w14:textId="77777777" w:rsidR="00520B9E" w:rsidRDefault="00520B9E" w:rsidP="00A70889">
      <w:r>
        <w:separator/>
      </w:r>
    </w:p>
  </w:footnote>
  <w:footnote w:type="continuationSeparator" w:id="0">
    <w:p w14:paraId="3E8FFB49" w14:textId="77777777" w:rsidR="00520B9E" w:rsidRDefault="00520B9E" w:rsidP="00A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EE01" w14:textId="77777777" w:rsidR="00297638" w:rsidRDefault="0059328D">
    <w:pPr>
      <w:pStyle w:val="En-tte"/>
    </w:pPr>
    <w:r>
      <w:rPr>
        <w:noProof/>
      </w:rPr>
      <w:drawing>
        <wp:inline distT="0" distB="0" distL="0" distR="0" wp14:anchorId="4F2B9A3D" wp14:editId="56C908E0">
          <wp:extent cx="1425555"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P1 2022 - BLEU.png"/>
                  <pic:cNvPicPr/>
                </pic:nvPicPr>
                <pic:blipFill rotWithShape="1">
                  <a:blip r:embed="rId1">
                    <a:extLst>
                      <a:ext uri="{28A0092B-C50C-407E-A947-70E740481C1C}">
                        <a14:useLocalDpi xmlns:a14="http://schemas.microsoft.com/office/drawing/2010/main" val="0"/>
                      </a:ext>
                    </a:extLst>
                  </a:blip>
                  <a:srcRect l="12188" t="28683" r="12188" b="25559"/>
                  <a:stretch/>
                </pic:blipFill>
                <pic:spPr bwMode="auto">
                  <a:xfrm>
                    <a:off x="0" y="0"/>
                    <a:ext cx="1458087" cy="6259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333D6"/>
    <w:multiLevelType w:val="hybridMultilevel"/>
    <w:tmpl w:val="3E001226"/>
    <w:lvl w:ilvl="0" w:tplc="D3FCEF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720FE"/>
    <w:multiLevelType w:val="hybridMultilevel"/>
    <w:tmpl w:val="753E5584"/>
    <w:lvl w:ilvl="0" w:tplc="62FCBEB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64D01"/>
    <w:multiLevelType w:val="hybridMultilevel"/>
    <w:tmpl w:val="9F6A3CEE"/>
    <w:lvl w:ilvl="0" w:tplc="082240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2483838">
    <w:abstractNumId w:val="1"/>
  </w:num>
  <w:num w:numId="2" w16cid:durableId="98574604">
    <w:abstractNumId w:val="1"/>
  </w:num>
  <w:num w:numId="3" w16cid:durableId="1233083423">
    <w:abstractNumId w:val="0"/>
  </w:num>
  <w:num w:numId="4" w16cid:durableId="1037706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53"/>
    <w:rsid w:val="00012EA2"/>
    <w:rsid w:val="00027313"/>
    <w:rsid w:val="00033899"/>
    <w:rsid w:val="000C199B"/>
    <w:rsid w:val="000C4875"/>
    <w:rsid w:val="000D69BC"/>
    <w:rsid w:val="00137EF9"/>
    <w:rsid w:val="00153866"/>
    <w:rsid w:val="001A3095"/>
    <w:rsid w:val="001C5A99"/>
    <w:rsid w:val="001F4718"/>
    <w:rsid w:val="00235BB0"/>
    <w:rsid w:val="0025562C"/>
    <w:rsid w:val="00295D3B"/>
    <w:rsid w:val="00297638"/>
    <w:rsid w:val="00436DD8"/>
    <w:rsid w:val="00457032"/>
    <w:rsid w:val="00520B9E"/>
    <w:rsid w:val="0059328D"/>
    <w:rsid w:val="005F599D"/>
    <w:rsid w:val="00613ED3"/>
    <w:rsid w:val="0065419A"/>
    <w:rsid w:val="006570AA"/>
    <w:rsid w:val="006903FA"/>
    <w:rsid w:val="006C13CC"/>
    <w:rsid w:val="007105E1"/>
    <w:rsid w:val="00723F95"/>
    <w:rsid w:val="00795153"/>
    <w:rsid w:val="008911E6"/>
    <w:rsid w:val="009C03DE"/>
    <w:rsid w:val="00A36E74"/>
    <w:rsid w:val="00A70889"/>
    <w:rsid w:val="00A91557"/>
    <w:rsid w:val="00B96FB5"/>
    <w:rsid w:val="00C0289B"/>
    <w:rsid w:val="00C6348A"/>
    <w:rsid w:val="00CC7335"/>
    <w:rsid w:val="00CC7DED"/>
    <w:rsid w:val="00D13843"/>
    <w:rsid w:val="00DC25CE"/>
    <w:rsid w:val="00E01A52"/>
    <w:rsid w:val="00F15611"/>
    <w:rsid w:val="00F80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585602"/>
  <w15:chartTrackingRefBased/>
  <w15:docId w15:val="{5A940577-926E-1241-AC3D-7699DE02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3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qFormat/>
    <w:rsid w:val="00137EF9"/>
    <w:pPr>
      <w:keepNext/>
      <w:tabs>
        <w:tab w:val="left" w:pos="980"/>
      </w:tabs>
      <w:ind w:right="-32"/>
      <w:jc w:val="both"/>
      <w:outlineLvl w:val="3"/>
    </w:pPr>
    <w:rPr>
      <w:rFonts w:ascii="Arial" w:eastAsia="Times New Roman" w:hAnsi="Arial" w:cs="Times New Roman"/>
      <w:b/>
      <w:szCs w:val="20"/>
      <w:u w:val="single"/>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0889"/>
    <w:pPr>
      <w:tabs>
        <w:tab w:val="center" w:pos="4536"/>
        <w:tab w:val="right" w:pos="9072"/>
      </w:tabs>
    </w:pPr>
  </w:style>
  <w:style w:type="character" w:customStyle="1" w:styleId="En-tteCar">
    <w:name w:val="En-tête Car"/>
    <w:basedOn w:val="Policepardfaut"/>
    <w:link w:val="En-tte"/>
    <w:uiPriority w:val="99"/>
    <w:rsid w:val="00A70889"/>
  </w:style>
  <w:style w:type="paragraph" w:styleId="Pieddepage">
    <w:name w:val="footer"/>
    <w:basedOn w:val="Normal"/>
    <w:link w:val="PieddepageCar"/>
    <w:uiPriority w:val="99"/>
    <w:unhideWhenUsed/>
    <w:rsid w:val="00A70889"/>
    <w:pPr>
      <w:tabs>
        <w:tab w:val="center" w:pos="4536"/>
        <w:tab w:val="right" w:pos="9072"/>
      </w:tabs>
    </w:pPr>
  </w:style>
  <w:style w:type="character" w:customStyle="1" w:styleId="PieddepageCar">
    <w:name w:val="Pied de page Car"/>
    <w:basedOn w:val="Policepardfaut"/>
    <w:link w:val="Pieddepage"/>
    <w:uiPriority w:val="99"/>
    <w:rsid w:val="00A70889"/>
  </w:style>
  <w:style w:type="character" w:customStyle="1" w:styleId="Titre4Car">
    <w:name w:val="Titre 4 Car"/>
    <w:basedOn w:val="Policepardfaut"/>
    <w:link w:val="Titre4"/>
    <w:rsid w:val="00137EF9"/>
    <w:rPr>
      <w:rFonts w:ascii="Arial" w:eastAsia="Times New Roman" w:hAnsi="Arial" w:cs="Times New Roman"/>
      <w:b/>
      <w:szCs w:val="20"/>
      <w:u w:val="single"/>
      <w:lang w:eastAsia="fr-FR"/>
    </w:rPr>
  </w:style>
  <w:style w:type="paragraph" w:styleId="Textebrut">
    <w:name w:val="Plain Text"/>
    <w:basedOn w:val="Normal"/>
    <w:link w:val="TextebrutCar"/>
    <w:unhideWhenUsed/>
    <w:rsid w:val="00DC25CE"/>
    <w:rPr>
      <w:rFonts w:ascii="Arial" w:eastAsia="Calibri" w:hAnsi="Arial" w:cs="Times New Roman"/>
      <w:sz w:val="16"/>
      <w:szCs w:val="21"/>
    </w:rPr>
  </w:style>
  <w:style w:type="character" w:customStyle="1" w:styleId="TextebrutCar">
    <w:name w:val="Texte brut Car"/>
    <w:basedOn w:val="Policepardfaut"/>
    <w:link w:val="Textebrut"/>
    <w:rsid w:val="00DC25CE"/>
    <w:rPr>
      <w:rFonts w:ascii="Arial" w:eastAsia="Calibri" w:hAnsi="Arial" w:cs="Times New Roman"/>
      <w:sz w:val="16"/>
      <w:szCs w:val="21"/>
    </w:rPr>
  </w:style>
  <w:style w:type="paragraph" w:styleId="Sansinterligne">
    <w:name w:val="No Spacing"/>
    <w:qFormat/>
    <w:rsid w:val="00DC25CE"/>
    <w:rPr>
      <w:rFonts w:ascii="Calibri" w:eastAsia="Calibri" w:hAnsi="Calibri" w:cs="Times New Roman"/>
      <w:sz w:val="22"/>
      <w:szCs w:val="22"/>
    </w:rPr>
  </w:style>
  <w:style w:type="paragraph" w:styleId="Titre">
    <w:name w:val="Title"/>
    <w:basedOn w:val="Normal"/>
    <w:link w:val="TitreCar"/>
    <w:qFormat/>
    <w:rsid w:val="00DC25CE"/>
    <w:pPr>
      <w:jc w:val="center"/>
    </w:pPr>
    <w:rPr>
      <w:rFonts w:ascii="Verdana" w:eastAsia="Times New Roman" w:hAnsi="Verdana" w:cs="Times New Roman"/>
      <w:b/>
      <w:bCs/>
      <w:lang w:eastAsia="fr-FR"/>
    </w:rPr>
  </w:style>
  <w:style w:type="character" w:customStyle="1" w:styleId="TitreCar">
    <w:name w:val="Titre Car"/>
    <w:basedOn w:val="Policepardfaut"/>
    <w:link w:val="Titre"/>
    <w:rsid w:val="00DC25CE"/>
    <w:rPr>
      <w:rFonts w:ascii="Verdana" w:eastAsia="Times New Roman" w:hAnsi="Verdana" w:cs="Times New Roman"/>
      <w:b/>
      <w:bCs/>
      <w:lang w:eastAsia="fr-FR"/>
    </w:rPr>
  </w:style>
  <w:style w:type="character" w:customStyle="1" w:styleId="Titre1Car">
    <w:name w:val="Titre 1 Car"/>
    <w:basedOn w:val="Policepardfaut"/>
    <w:link w:val="Titre1"/>
    <w:uiPriority w:val="9"/>
    <w:rsid w:val="000273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CF5-FAF5-9647-AAA1-AB319789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253</Words>
  <Characters>1392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BROCAREL, Tom</cp:lastModifiedBy>
  <cp:revision>21</cp:revision>
  <dcterms:created xsi:type="dcterms:W3CDTF">2021-07-11T15:45:00Z</dcterms:created>
  <dcterms:modified xsi:type="dcterms:W3CDTF">2023-07-07T09:45:00Z</dcterms:modified>
</cp:coreProperties>
</file>