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76ACCD9B" w:rsidR="00DC25CE" w:rsidRPr="00DC25CE" w:rsidRDefault="00B96FB5" w:rsidP="00C65405">
            <w:pPr>
              <w:pStyle w:val="Sansinterligne"/>
              <w:jc w:val="center"/>
              <w:rPr>
                <w:rFonts w:ascii="Tahoma" w:hAnsi="Tahoma" w:cs="Tahoma"/>
                <w:b/>
                <w:sz w:val="28"/>
                <w:szCs w:val="24"/>
              </w:rPr>
            </w:pPr>
            <w:r w:rsidRPr="00B96FB5">
              <w:rPr>
                <w:rFonts w:ascii="Tahoma" w:hAnsi="Tahoma" w:cs="Tahoma"/>
                <w:b/>
                <w:sz w:val="28"/>
                <w:szCs w:val="24"/>
              </w:rPr>
              <w:t>Plancher Dalles Alvéolées KP1</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5B4247EB" w:rsidR="00A91557" w:rsidRDefault="00B96FB5" w:rsidP="00DC25CE">
      <w:pPr>
        <w:pStyle w:val="Sansinterligne"/>
        <w:rPr>
          <w:rFonts w:ascii="Tahoma" w:hAnsi="Tahoma" w:cs="Tahoma"/>
          <w:color w:val="002060"/>
          <w:szCs w:val="24"/>
        </w:rPr>
      </w:pPr>
      <w:r w:rsidRPr="00B96FB5">
        <w:rPr>
          <w:rFonts w:ascii="Tahoma" w:hAnsi="Tahoma" w:cs="Tahoma"/>
          <w:color w:val="002060"/>
          <w:szCs w:val="24"/>
        </w:rPr>
        <w:t>Plancher alvéolaire épaisseur XX cm avec Dalles Alvéolées préfabriquées en béton précontraint KP1.</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71528A1A"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 xml:space="preserve">Mise en œuvre d’un plancher, d’une épaisseur suivant charges et portées, en dalles alvéolaires précontraintes par torons adhérents KP1 ou équivalentes associées à une dalle de compression </w:t>
      </w:r>
      <w:proofErr w:type="spellStart"/>
      <w:r w:rsidRPr="00B96FB5">
        <w:rPr>
          <w:rFonts w:ascii="Tahoma" w:eastAsia="Times New Roman" w:hAnsi="Tahoma" w:cs="Tahoma"/>
          <w:sz w:val="22"/>
          <w:szCs w:val="22"/>
          <w:lang w:eastAsia="fr-FR"/>
        </w:rPr>
        <w:t>collaborante</w:t>
      </w:r>
      <w:proofErr w:type="spellEnd"/>
      <w:r w:rsidRPr="00B96FB5">
        <w:rPr>
          <w:rFonts w:ascii="Tahoma" w:eastAsia="Times New Roman" w:hAnsi="Tahoma" w:cs="Tahoma"/>
          <w:sz w:val="22"/>
          <w:szCs w:val="22"/>
          <w:lang w:eastAsia="fr-FR"/>
        </w:rPr>
        <w:t>.</w:t>
      </w:r>
    </w:p>
    <w:p w14:paraId="0688E915" w14:textId="77777777" w:rsidR="00B96FB5" w:rsidRPr="00B96FB5" w:rsidRDefault="00B96FB5" w:rsidP="00B96FB5">
      <w:pPr>
        <w:rPr>
          <w:rFonts w:ascii="Tahoma" w:eastAsia="Times New Roman" w:hAnsi="Tahoma" w:cs="Tahoma"/>
          <w:sz w:val="22"/>
          <w:szCs w:val="22"/>
          <w:lang w:eastAsia="fr-FR"/>
        </w:rPr>
      </w:pPr>
    </w:p>
    <w:p w14:paraId="4D6271D1"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 xml:space="preserve">Epaisseurs suivant calculs et nécessité de la structure. </w:t>
      </w:r>
    </w:p>
    <w:p w14:paraId="54B538B0" w14:textId="77777777" w:rsidR="00B96FB5" w:rsidRPr="00B96FB5" w:rsidRDefault="00B96FB5" w:rsidP="00B96FB5">
      <w:pPr>
        <w:rPr>
          <w:rFonts w:ascii="Tahoma" w:eastAsia="Times New Roman" w:hAnsi="Tahoma" w:cs="Tahoma"/>
          <w:sz w:val="22"/>
          <w:szCs w:val="22"/>
          <w:lang w:eastAsia="fr-FR"/>
        </w:rPr>
      </w:pPr>
    </w:p>
    <w:p w14:paraId="474CA901"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 xml:space="preserve">Les dalles alvéolaires devront être certifiées « NF » et satisfaire aux exigences des normes en vigueur, notamment le DTU </w:t>
      </w:r>
      <w:proofErr w:type="gramStart"/>
      <w:r w:rsidRPr="00B96FB5">
        <w:rPr>
          <w:rFonts w:ascii="Tahoma" w:eastAsia="Times New Roman" w:hAnsi="Tahoma" w:cs="Tahoma"/>
          <w:sz w:val="22"/>
          <w:szCs w:val="22"/>
          <w:lang w:eastAsia="fr-FR"/>
        </w:rPr>
        <w:t>23.2 ,</w:t>
      </w:r>
      <w:proofErr w:type="gramEnd"/>
      <w:r w:rsidRPr="00B96FB5">
        <w:rPr>
          <w:rFonts w:ascii="Tahoma" w:eastAsia="Times New Roman" w:hAnsi="Tahoma" w:cs="Tahoma"/>
          <w:sz w:val="22"/>
          <w:szCs w:val="22"/>
          <w:lang w:eastAsia="fr-FR"/>
        </w:rPr>
        <w:t xml:space="preserve"> la norme NF EN 1168,…</w:t>
      </w:r>
    </w:p>
    <w:p w14:paraId="62FC68DF" w14:textId="77777777" w:rsidR="00B96FB5" w:rsidRPr="00B96FB5" w:rsidRDefault="00B96FB5" w:rsidP="00B96FB5">
      <w:pPr>
        <w:rPr>
          <w:rFonts w:ascii="Tahoma" w:eastAsia="Times New Roman" w:hAnsi="Tahoma" w:cs="Tahoma"/>
          <w:sz w:val="22"/>
          <w:szCs w:val="22"/>
          <w:lang w:eastAsia="fr-FR"/>
        </w:rPr>
      </w:pPr>
    </w:p>
    <w:p w14:paraId="0850273B"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Aspect :</w:t>
      </w:r>
    </w:p>
    <w:p w14:paraId="05FDAB59" w14:textId="77777777" w:rsidR="00B96FB5" w:rsidRPr="00B96FB5" w:rsidRDefault="00B96FB5" w:rsidP="00B96FB5">
      <w:pPr>
        <w:numPr>
          <w:ilvl w:val="0"/>
          <w:numId w:val="4"/>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La sous-face des dalles devra être lisse et présenter un parement de type courant au sens de la norme FD CEN/TR 15739 : « Produits préfabriqués en béton – Surface et parements de béton – Eléments d’identification »</w:t>
      </w:r>
    </w:p>
    <w:p w14:paraId="6FA32F8C" w14:textId="14C0C5D5" w:rsidR="00B96FB5" w:rsidRPr="00B96FB5" w:rsidRDefault="00B96FB5" w:rsidP="00B96FB5">
      <w:pPr>
        <w:numPr>
          <w:ilvl w:val="0"/>
          <w:numId w:val="4"/>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 xml:space="preserve">La surface des dalles alvéolaires devra être crantée afin de garantir le bon accrochage du béton de la table de compression </w:t>
      </w:r>
    </w:p>
    <w:p w14:paraId="6264133B" w14:textId="77777777" w:rsidR="00B96FB5" w:rsidRPr="00B96FB5" w:rsidRDefault="00B96FB5" w:rsidP="00B96FB5">
      <w:pPr>
        <w:numPr>
          <w:ilvl w:val="0"/>
          <w:numId w:val="4"/>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 xml:space="preserve">La surface de la table de compression devra avoir une planéité de 6 mm sous la règle de 2 m et 3 mm sous la règle de 20 cm </w:t>
      </w:r>
      <w:r w:rsidRPr="00B96FB5">
        <w:rPr>
          <w:rFonts w:ascii="Tahoma" w:eastAsia="Calibri" w:hAnsi="Tahoma" w:cs="Tahoma"/>
          <w:i/>
          <w:color w:val="FF0000"/>
          <w:sz w:val="22"/>
          <w:szCs w:val="22"/>
        </w:rPr>
        <w:t>(à adapter au type de revêtement du projet)</w:t>
      </w:r>
      <w:r w:rsidRPr="00B96FB5">
        <w:rPr>
          <w:rFonts w:ascii="Tahoma" w:eastAsia="Calibri" w:hAnsi="Tahoma" w:cs="Tahoma"/>
          <w:sz w:val="22"/>
          <w:szCs w:val="22"/>
        </w:rPr>
        <w:t xml:space="preserve">. </w:t>
      </w:r>
    </w:p>
    <w:p w14:paraId="3442A490"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Ce poste s’entend comprendre :</w:t>
      </w:r>
    </w:p>
    <w:p w14:paraId="7BAFF1E4"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Fourniture et pose des dalles alvéolaires</w:t>
      </w:r>
    </w:p>
    <w:p w14:paraId="27DF9FE8"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 xml:space="preserve">Etaiement éventuel des dalles suivant plans de préconisation de pose du fabricant  </w:t>
      </w:r>
    </w:p>
    <w:p w14:paraId="4906464C"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 xml:space="preserve">La préparation des supports : </w:t>
      </w:r>
    </w:p>
    <w:p w14:paraId="10C3A23C" w14:textId="77777777" w:rsidR="00B96FB5" w:rsidRPr="00B96FB5" w:rsidRDefault="00B96FB5" w:rsidP="00B96FB5">
      <w:pPr>
        <w:numPr>
          <w:ilvl w:val="1"/>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Vérification de la planéité des appuis</w:t>
      </w:r>
    </w:p>
    <w:p w14:paraId="3C339C5B" w14:textId="77777777" w:rsidR="00B96FB5" w:rsidRPr="00B96FB5" w:rsidRDefault="00B96FB5" w:rsidP="00B96FB5">
      <w:pPr>
        <w:numPr>
          <w:ilvl w:val="1"/>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S’assurer de la bonne prise en compte de la contreflèche des dalles alvéolaires pour araser les appuis</w:t>
      </w:r>
    </w:p>
    <w:p w14:paraId="2302309E" w14:textId="77777777" w:rsidR="00B96FB5" w:rsidRPr="00B96FB5" w:rsidRDefault="00B96FB5" w:rsidP="00B96FB5">
      <w:pPr>
        <w:numPr>
          <w:ilvl w:val="1"/>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 xml:space="preserve">Prise en compte de l’espace d’appui nécessaire aux dalles alvéolaires dans le façonnage des armatures des éléments supports. </w:t>
      </w:r>
    </w:p>
    <w:p w14:paraId="260FE3E8"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 xml:space="preserve">L’intégration des dispositifs permettant de garantir la sécurité du personnel de chantier pendant les phases de déchargement, pose et coulage des dalles tels que dispositifs d’accueil de tubes garde-corps type DAK de KP1 ou équivalent, quais de </w:t>
      </w:r>
      <w:proofErr w:type="gramStart"/>
      <w:r w:rsidRPr="00B96FB5">
        <w:rPr>
          <w:rFonts w:ascii="Tahoma" w:eastAsia="Calibri" w:hAnsi="Tahoma" w:cs="Tahoma"/>
          <w:sz w:val="22"/>
          <w:szCs w:val="22"/>
        </w:rPr>
        <w:t>déchargement,…</w:t>
      </w:r>
      <w:proofErr w:type="gramEnd"/>
    </w:p>
    <w:p w14:paraId="4AA71233"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 xml:space="preserve">Chevêtres en béton armé ou métalliques suivant prescriptions du fabricant des dalles. </w:t>
      </w:r>
    </w:p>
    <w:p w14:paraId="0671FCFB"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Ferraillage et étaiement des chevêtres éventuels</w:t>
      </w:r>
    </w:p>
    <w:p w14:paraId="5E02E37A"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lastRenderedPageBreak/>
        <w:t xml:space="preserve">Coffrage et ferraillage des trémies </w:t>
      </w:r>
    </w:p>
    <w:p w14:paraId="2FDDA54D"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Fourniture et mise en œuvre du ferraillage complémentaire de la table de compression</w:t>
      </w:r>
    </w:p>
    <w:p w14:paraId="651B369D"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Coulage de la table de compression et des joints des dalles en béton de classe C25/30 minimum et conforme aux plans du fabricant des dalles</w:t>
      </w:r>
    </w:p>
    <w:p w14:paraId="600B155A"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Contrôle et dégagement des trous d’évacuation d’eau en sous-face des dalles</w:t>
      </w:r>
    </w:p>
    <w:p w14:paraId="243F0240" w14:textId="77777777" w:rsidR="00B96FB5" w:rsidRPr="00B96FB5" w:rsidRDefault="00B96FB5" w:rsidP="00B96FB5">
      <w:pPr>
        <w:numPr>
          <w:ilvl w:val="0"/>
          <w:numId w:val="3"/>
        </w:numPr>
        <w:spacing w:after="200" w:line="276" w:lineRule="auto"/>
        <w:contextualSpacing/>
        <w:rPr>
          <w:rFonts w:ascii="Tahoma" w:eastAsia="Calibri" w:hAnsi="Tahoma" w:cs="Tahoma"/>
          <w:sz w:val="22"/>
          <w:szCs w:val="22"/>
        </w:rPr>
      </w:pPr>
      <w:r w:rsidRPr="00B96FB5">
        <w:rPr>
          <w:rFonts w:ascii="Tahoma" w:eastAsia="Calibri" w:hAnsi="Tahoma" w:cs="Tahoma"/>
          <w:sz w:val="22"/>
          <w:szCs w:val="22"/>
        </w:rPr>
        <w:t>Enlèvement et évacuation des étaiements</w:t>
      </w:r>
    </w:p>
    <w:p w14:paraId="204621F3"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L’Entreprise s’assurera de l’adaptation de ses moyens de levage aux poids des modules de dalles. Les moyens de manutention mis en œuvre devront permettre le levage et la pose de modules de dalles complets (largeur 120cm).</w:t>
      </w:r>
    </w:p>
    <w:p w14:paraId="3D9132CE" w14:textId="77777777" w:rsidR="00B96FB5" w:rsidRPr="00B96FB5" w:rsidRDefault="00B96FB5" w:rsidP="00B96FB5">
      <w:pPr>
        <w:rPr>
          <w:rFonts w:ascii="Tahoma" w:eastAsia="Times New Roman" w:hAnsi="Tahoma" w:cs="Tahoma"/>
          <w:sz w:val="22"/>
          <w:szCs w:val="22"/>
          <w:lang w:eastAsia="fr-FR"/>
        </w:rPr>
      </w:pPr>
    </w:p>
    <w:p w14:paraId="0656E646"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Localisation : Suivant plans du lot gros-œuvre.</w:t>
      </w:r>
    </w:p>
    <w:p w14:paraId="4ECCD250" w14:textId="77777777" w:rsidR="00B96FB5" w:rsidRPr="00B96FB5" w:rsidRDefault="00B96FB5" w:rsidP="00B96FB5">
      <w:pPr>
        <w:rPr>
          <w:rFonts w:ascii="Tahoma" w:eastAsia="Times New Roman" w:hAnsi="Tahoma" w:cs="Tahoma"/>
          <w:sz w:val="22"/>
          <w:szCs w:val="22"/>
          <w:lang w:eastAsia="fr-FR"/>
        </w:rPr>
      </w:pPr>
    </w:p>
    <w:p w14:paraId="22AD1A76" w14:textId="2E00DB8A"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 xml:space="preserve">Charges appliquées et </w:t>
      </w:r>
      <w:r w:rsidRPr="00B96FB5">
        <w:rPr>
          <w:rFonts w:ascii="Tahoma" w:eastAsia="Times New Roman" w:hAnsi="Tahoma" w:cs="Tahoma"/>
          <w:sz w:val="22"/>
          <w:szCs w:val="22"/>
          <w:lang w:eastAsia="fr-FR"/>
        </w:rPr>
        <w:t>Coupe-Feu</w:t>
      </w:r>
      <w:r w:rsidRPr="00B96FB5">
        <w:rPr>
          <w:rFonts w:ascii="Tahoma" w:eastAsia="Times New Roman" w:hAnsi="Tahoma" w:cs="Tahoma"/>
          <w:sz w:val="22"/>
          <w:szCs w:val="22"/>
          <w:lang w:eastAsia="fr-FR"/>
        </w:rPr>
        <w:t> : suivant plans lot gros-œuvre</w:t>
      </w:r>
    </w:p>
    <w:p w14:paraId="65DCDAB6" w14:textId="77777777" w:rsidR="00B96FB5" w:rsidRPr="00B96FB5" w:rsidRDefault="00B96FB5" w:rsidP="00B96FB5">
      <w:pPr>
        <w:rPr>
          <w:rFonts w:ascii="Tahoma" w:eastAsia="Times New Roman" w:hAnsi="Tahoma" w:cs="Tahoma"/>
          <w:sz w:val="22"/>
          <w:szCs w:val="22"/>
          <w:lang w:eastAsia="fr-FR"/>
        </w:rPr>
      </w:pPr>
    </w:p>
    <w:p w14:paraId="64BF5AA5" w14:textId="77777777" w:rsidR="00B96FB5" w:rsidRPr="00B96FB5" w:rsidRDefault="00B96FB5" w:rsidP="00B96FB5">
      <w:pPr>
        <w:rPr>
          <w:rFonts w:ascii="Tahoma" w:eastAsia="Times New Roman" w:hAnsi="Tahoma" w:cs="Tahoma"/>
          <w:sz w:val="22"/>
          <w:szCs w:val="22"/>
          <w:lang w:eastAsia="fr-FR"/>
        </w:rPr>
      </w:pPr>
      <w:r w:rsidRPr="00B96FB5">
        <w:rPr>
          <w:rFonts w:ascii="Tahoma" w:eastAsia="Times New Roman" w:hAnsi="Tahoma" w:cs="Tahoma"/>
          <w:sz w:val="22"/>
          <w:szCs w:val="22"/>
          <w:lang w:eastAsia="fr-FR"/>
        </w:rPr>
        <w:t xml:space="preserve">Quantités : Au m² de plancher suivant plans lot gros œuvre. </w:t>
      </w:r>
    </w:p>
    <w:p w14:paraId="1579248B" w14:textId="5E9ACB38" w:rsidR="00137EF9" w:rsidRPr="00B96FB5" w:rsidRDefault="00137EF9" w:rsidP="00B96FB5">
      <w:pPr>
        <w:ind w:left="720"/>
        <w:jc w:val="both"/>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3DAD" w14:textId="77777777" w:rsidR="00520B9E" w:rsidRDefault="00520B9E" w:rsidP="00A70889">
      <w:r>
        <w:separator/>
      </w:r>
    </w:p>
  </w:endnote>
  <w:endnote w:type="continuationSeparator" w:id="0">
    <w:p w14:paraId="14CC151C" w14:textId="77777777" w:rsidR="00520B9E" w:rsidRDefault="00520B9E"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9CB8" w14:textId="77777777" w:rsidR="00520B9E" w:rsidRDefault="00520B9E" w:rsidP="00A70889">
      <w:r>
        <w:separator/>
      </w:r>
    </w:p>
  </w:footnote>
  <w:footnote w:type="continuationSeparator" w:id="0">
    <w:p w14:paraId="3E8FFB49" w14:textId="77777777" w:rsidR="00520B9E" w:rsidRDefault="00520B9E"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436DD8"/>
    <w:rsid w:val="00457032"/>
    <w:rsid w:val="00520B9E"/>
    <w:rsid w:val="0059328D"/>
    <w:rsid w:val="00613ED3"/>
    <w:rsid w:val="0065419A"/>
    <w:rsid w:val="006570AA"/>
    <w:rsid w:val="006903FA"/>
    <w:rsid w:val="006C13CC"/>
    <w:rsid w:val="007105E1"/>
    <w:rsid w:val="00723F95"/>
    <w:rsid w:val="00795153"/>
    <w:rsid w:val="008911E6"/>
    <w:rsid w:val="009C03DE"/>
    <w:rsid w:val="00A36E74"/>
    <w:rsid w:val="00A70889"/>
    <w:rsid w:val="00A91557"/>
    <w:rsid w:val="00B96FB5"/>
    <w:rsid w:val="00C0289B"/>
    <w:rsid w:val="00C6348A"/>
    <w:rsid w:val="00CC7335"/>
    <w:rsid w:val="00CC7DED"/>
    <w:rsid w:val="00D13843"/>
    <w:rsid w:val="00DC25CE"/>
    <w:rsid w:val="00E01A52"/>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DECUYPER, Camille</cp:lastModifiedBy>
  <cp:revision>20</cp:revision>
  <dcterms:created xsi:type="dcterms:W3CDTF">2021-07-11T15:45:00Z</dcterms:created>
  <dcterms:modified xsi:type="dcterms:W3CDTF">2023-01-26T17:14:00Z</dcterms:modified>
</cp:coreProperties>
</file>