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B62C" w14:textId="77777777" w:rsidR="0025562C" w:rsidRDefault="0025562C" w:rsidP="00295D3B"/>
    <w:p w14:paraId="4A6F98E4" w14:textId="77777777" w:rsidR="0065419A" w:rsidRDefault="0065419A" w:rsidP="00297638"/>
    <w:p w14:paraId="2FD20C7E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DC25CE" w:rsidRPr="00DC25CE" w14:paraId="398BC961" w14:textId="77777777" w:rsidTr="00C65405">
        <w:trPr>
          <w:jc w:val="center"/>
        </w:trPr>
        <w:tc>
          <w:tcPr>
            <w:tcW w:w="9212" w:type="dxa"/>
          </w:tcPr>
          <w:p w14:paraId="2835F885" w14:textId="555B94B2" w:rsidR="00DC25CE" w:rsidRPr="00DC25CE" w:rsidRDefault="00257AE7" w:rsidP="00C654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257AE7">
              <w:rPr>
                <w:rFonts w:ascii="Tahoma" w:hAnsi="Tahoma" w:cs="Tahoma"/>
                <w:b/>
                <w:sz w:val="28"/>
                <w:szCs w:val="24"/>
              </w:rPr>
              <w:t>CCTP Type - Plancher Prédalles isolées KP1</w:t>
            </w:r>
          </w:p>
        </w:tc>
      </w:tr>
    </w:tbl>
    <w:p w14:paraId="31504D50" w14:textId="77777777" w:rsidR="00C6348A" w:rsidRDefault="00C6348A" w:rsidP="00297638"/>
    <w:p w14:paraId="70B2CB41" w14:textId="77777777" w:rsidR="00C6348A" w:rsidRPr="00DC25CE" w:rsidRDefault="00C6348A" w:rsidP="00297638">
      <w:pPr>
        <w:rPr>
          <w:color w:val="002060"/>
        </w:rPr>
      </w:pPr>
    </w:p>
    <w:p w14:paraId="747AB182" w14:textId="77777777" w:rsidR="00DC25CE" w:rsidRDefault="00DC25CE" w:rsidP="00DC25CE">
      <w:pPr>
        <w:pStyle w:val="Sansinterligne"/>
        <w:rPr>
          <w:rFonts w:ascii="Tahoma" w:hAnsi="Tahoma" w:cs="Tahoma"/>
          <w:b/>
          <w:color w:val="002060"/>
          <w:szCs w:val="24"/>
        </w:rPr>
      </w:pPr>
      <w:r w:rsidRPr="00DC25CE">
        <w:rPr>
          <w:rFonts w:ascii="Tahoma" w:hAnsi="Tahoma" w:cs="Tahoma"/>
          <w:b/>
          <w:color w:val="002060"/>
          <w:szCs w:val="24"/>
        </w:rPr>
        <w:t>Descriptif succinct (pour DPGF) :</w:t>
      </w:r>
    </w:p>
    <w:p w14:paraId="476BCA4A" w14:textId="77777777" w:rsidR="00257AE7" w:rsidRPr="00DC25CE" w:rsidRDefault="00257AE7" w:rsidP="00DC25CE">
      <w:pPr>
        <w:pStyle w:val="Sansinterligne"/>
        <w:rPr>
          <w:rFonts w:ascii="Tahoma" w:hAnsi="Tahoma" w:cs="Tahoma"/>
          <w:b/>
          <w:color w:val="002060"/>
          <w:szCs w:val="24"/>
        </w:rPr>
      </w:pPr>
    </w:p>
    <w:p w14:paraId="524BEAEC" w14:textId="246AD589" w:rsidR="00257AE7" w:rsidRPr="00257AE7" w:rsidRDefault="00257AE7" w:rsidP="00257AE7">
      <w:pPr>
        <w:pStyle w:val="Sansinterligne"/>
        <w:rPr>
          <w:rFonts w:ascii="Tahoma" w:hAnsi="Tahoma" w:cs="Tahoma"/>
          <w:color w:val="002060"/>
          <w:szCs w:val="24"/>
        </w:rPr>
      </w:pPr>
      <w:r w:rsidRPr="00257AE7">
        <w:rPr>
          <w:rFonts w:ascii="Tahoma" w:hAnsi="Tahoma" w:cs="Tahoma"/>
          <w:color w:val="002060"/>
          <w:szCs w:val="24"/>
        </w:rPr>
        <w:t xml:space="preserve">Plancher béton épaisseur XX cm avec Prédalles préfabriquées en béton précontraint KP1 avec isolation thermique fixée en usine, épaisseur XX cm (R= XXX m².K/W). </w:t>
      </w:r>
    </w:p>
    <w:p w14:paraId="18CDF05E" w14:textId="77777777" w:rsidR="00B96FB5" w:rsidRDefault="00B96FB5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p w14:paraId="5CB6A72E" w14:textId="0CBE63CA" w:rsidR="00DC25CE" w:rsidRPr="00DC25CE" w:rsidRDefault="00DC25CE" w:rsidP="00DC25CE">
      <w:pPr>
        <w:pStyle w:val="Sansinterligne"/>
        <w:rPr>
          <w:rFonts w:ascii="Tahoma" w:hAnsi="Tahoma" w:cs="Tahoma"/>
          <w:b/>
          <w:szCs w:val="24"/>
        </w:rPr>
      </w:pPr>
      <w:r w:rsidRPr="00DC25CE">
        <w:rPr>
          <w:rFonts w:ascii="Tahoma" w:hAnsi="Tahoma" w:cs="Tahoma"/>
          <w:b/>
          <w:szCs w:val="24"/>
        </w:rPr>
        <w:t>Descriptif Détaillé (pour CCTP) :</w:t>
      </w:r>
    </w:p>
    <w:p w14:paraId="09D7B316" w14:textId="77777777" w:rsidR="00DC25CE" w:rsidRPr="00DC25CE" w:rsidRDefault="00DC25CE" w:rsidP="00DC25CE">
      <w:pPr>
        <w:pStyle w:val="Sansinterligne"/>
        <w:rPr>
          <w:rFonts w:ascii="Tahoma" w:hAnsi="Tahoma" w:cs="Tahoma"/>
          <w:sz w:val="18"/>
        </w:rPr>
      </w:pPr>
    </w:p>
    <w:p w14:paraId="32FE07F8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  <w:b/>
        </w:rPr>
      </w:pPr>
      <w:r w:rsidRPr="00DC25CE">
        <w:rPr>
          <w:rFonts w:ascii="Tahoma" w:hAnsi="Tahoma" w:cs="Tahoma"/>
          <w:b/>
          <w:highlight w:val="cyan"/>
        </w:rPr>
        <w:t>Lots gros œuvre</w:t>
      </w:r>
      <w:r w:rsidRPr="00DC25CE">
        <w:rPr>
          <w:rFonts w:ascii="Tahoma" w:hAnsi="Tahoma" w:cs="Tahoma"/>
          <w:b/>
        </w:rPr>
        <w:t xml:space="preserve"> </w:t>
      </w:r>
    </w:p>
    <w:p w14:paraId="568478AE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5F83F5A6" w14:textId="77777777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257AE7">
        <w:rPr>
          <w:rFonts w:ascii="Tahoma" w:eastAsia="Times New Roman" w:hAnsi="Tahoma" w:cs="Tahoma"/>
          <w:sz w:val="22"/>
          <w:szCs w:val="22"/>
          <w:lang w:eastAsia="fr-FR"/>
        </w:rPr>
        <w:t>Mise en œuvre d’un plancher à Prédalles préfabriquées en béton précontraint, d’une épaisseur suivant charges et portées, comportant un isolant thermique en sous face fixé en usine.</w:t>
      </w:r>
    </w:p>
    <w:p w14:paraId="6473CB54" w14:textId="77777777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494C302E" w14:textId="77777777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257AE7">
        <w:rPr>
          <w:rFonts w:ascii="Tahoma" w:eastAsia="Times New Roman" w:hAnsi="Tahoma" w:cs="Tahoma"/>
          <w:sz w:val="22"/>
          <w:szCs w:val="22"/>
          <w:lang w:eastAsia="fr-FR"/>
        </w:rPr>
        <w:t xml:space="preserve">Le plancher sera constitué de prédalles précontraintes KP1 ou similaires, avec isolant thermique fixé en sous face en usine, et d’une dalle de compression coulée en œuvre et </w:t>
      </w:r>
      <w:proofErr w:type="gramStart"/>
      <w:r w:rsidRPr="00257AE7">
        <w:rPr>
          <w:rFonts w:ascii="Tahoma" w:eastAsia="Times New Roman" w:hAnsi="Tahoma" w:cs="Tahoma"/>
          <w:sz w:val="22"/>
          <w:szCs w:val="22"/>
          <w:lang w:eastAsia="fr-FR"/>
        </w:rPr>
        <w:t>ferraillée</w:t>
      </w:r>
      <w:proofErr w:type="gramEnd"/>
      <w:r w:rsidRPr="00257AE7">
        <w:rPr>
          <w:rFonts w:ascii="Tahoma" w:eastAsia="Times New Roman" w:hAnsi="Tahoma" w:cs="Tahoma"/>
          <w:sz w:val="22"/>
          <w:szCs w:val="22"/>
          <w:lang w:eastAsia="fr-FR"/>
        </w:rPr>
        <w:t xml:space="preserve"> suivant les préconisations du fabricant et du Bureau d’Etudes Techniques en charge du projet. </w:t>
      </w:r>
    </w:p>
    <w:p w14:paraId="0AE12650" w14:textId="77777777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7A87771E" w14:textId="785FFB14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257AE7">
        <w:rPr>
          <w:rFonts w:ascii="Tahoma" w:eastAsia="Times New Roman" w:hAnsi="Tahoma" w:cs="Tahoma"/>
          <w:sz w:val="22"/>
          <w:szCs w:val="22"/>
          <w:lang w:eastAsia="fr-FR"/>
        </w:rPr>
        <w:t>L’isolation thermique présentera une résistance thermique R=XXX m².K/W et une tenue au feu de XXX minutes. Sa fixation mécanique en sous face des prédalles sera réalisée directement par le fabricant en usine conformément au</w:t>
      </w:r>
      <w:r w:rsidR="00DB4DC3">
        <w:rPr>
          <w:rFonts w:ascii="Tahoma" w:eastAsia="Times New Roman" w:hAnsi="Tahoma" w:cs="Tahoma"/>
          <w:sz w:val="22"/>
          <w:szCs w:val="22"/>
          <w:lang w:eastAsia="fr-FR"/>
        </w:rPr>
        <w:t xml:space="preserve"> </w:t>
      </w:r>
      <w:r w:rsidR="00DB4DC3" w:rsidRPr="00DB4DC3">
        <w:rPr>
          <w:rFonts w:ascii="Tahoma" w:eastAsia="Times New Roman" w:hAnsi="Tahoma" w:cs="Tahoma"/>
          <w:sz w:val="22"/>
          <w:szCs w:val="22"/>
          <w:lang w:eastAsia="fr-FR"/>
        </w:rPr>
        <w:t>DTU 23.1</w:t>
      </w:r>
      <w:r w:rsidRPr="00257AE7">
        <w:rPr>
          <w:rFonts w:ascii="Tahoma" w:eastAsia="Times New Roman" w:hAnsi="Tahoma" w:cs="Tahoma"/>
          <w:sz w:val="22"/>
          <w:szCs w:val="22"/>
          <w:lang w:eastAsia="fr-FR"/>
        </w:rPr>
        <w:t>.</w:t>
      </w:r>
    </w:p>
    <w:p w14:paraId="39F1B29C" w14:textId="77777777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085DD621" w14:textId="77777777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257AE7">
        <w:rPr>
          <w:rFonts w:ascii="Tahoma" w:eastAsia="Times New Roman" w:hAnsi="Tahoma" w:cs="Tahoma"/>
          <w:sz w:val="22"/>
          <w:szCs w:val="22"/>
          <w:lang w:eastAsia="fr-FR"/>
        </w:rPr>
        <w:t>Les incorporations à la charge du lot électricité (descentes de cloisons, pots électriques, etc.) seront intégrées directement par le fabricant sur la base des plans fournis dans le délai imparti.</w:t>
      </w:r>
    </w:p>
    <w:p w14:paraId="12EC6018" w14:textId="77777777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112F43BA" w14:textId="77777777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  <w:r w:rsidRPr="00257AE7">
        <w:rPr>
          <w:rFonts w:ascii="Tahoma" w:eastAsia="Times New Roman" w:hAnsi="Tahoma" w:cs="Tahoma"/>
          <w:sz w:val="22"/>
          <w:szCs w:val="22"/>
          <w:lang w:eastAsia="fr-FR"/>
        </w:rPr>
        <w:t>La pose des prédalles</w:t>
      </w:r>
      <w:r w:rsidRPr="00257AE7">
        <w:rPr>
          <w:rFonts w:ascii="Tahoma" w:eastAsia="Times New Roman" w:hAnsi="Tahoma" w:cs="Tahoma"/>
          <w:sz w:val="22"/>
          <w:szCs w:val="22"/>
          <w:vertAlign w:val="superscript"/>
          <w:lang w:eastAsia="fr-FR"/>
        </w:rPr>
        <w:t xml:space="preserve"> </w:t>
      </w:r>
      <w:r w:rsidRPr="00257AE7">
        <w:rPr>
          <w:rFonts w:ascii="Tahoma" w:eastAsia="Times New Roman" w:hAnsi="Tahoma" w:cs="Tahoma"/>
          <w:sz w:val="22"/>
          <w:szCs w:val="22"/>
          <w:lang w:eastAsia="fr-FR"/>
        </w:rPr>
        <w:t xml:space="preserve">sera effectuée en sécurité à l’aide de garde-corps et d’un dispositif d’accroche des potelets adapté type Crochet de sécurité ou similaire. Ces derniers seront disposés avant le déchargement. </w:t>
      </w:r>
    </w:p>
    <w:p w14:paraId="5D45E33A" w14:textId="77777777" w:rsidR="00257AE7" w:rsidRPr="00257AE7" w:rsidRDefault="00257AE7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5D2B0BCC" w14:textId="77777777" w:rsidR="00257AE7" w:rsidRPr="00257AE7" w:rsidRDefault="00257AE7" w:rsidP="00257AE7">
      <w:pPr>
        <w:rPr>
          <w:rFonts w:ascii="Tahoma" w:eastAsia="Times New Roman" w:hAnsi="Tahoma" w:cs="Tahoma"/>
          <w:bCs/>
          <w:sz w:val="22"/>
          <w:szCs w:val="22"/>
          <w:lang w:eastAsia="fr-FR"/>
        </w:rPr>
      </w:pPr>
      <w:r w:rsidRPr="00257AE7">
        <w:rPr>
          <w:rFonts w:ascii="Tahoma" w:eastAsia="Times New Roman" w:hAnsi="Tahoma" w:cs="Tahoma"/>
          <w:bCs/>
          <w:sz w:val="22"/>
          <w:szCs w:val="22"/>
          <w:lang w:eastAsia="fr-FR"/>
        </w:rPr>
        <w:t>La dalle de compression sera conforme en type de béton ainsi qu’en épaisseur à celle déterminée par le bureau d’étude KP1.</w:t>
      </w:r>
    </w:p>
    <w:p w14:paraId="64BF5AA5" w14:textId="0B2D2F80" w:rsidR="00B96FB5" w:rsidRPr="00B96FB5" w:rsidRDefault="00B96FB5" w:rsidP="00257AE7">
      <w:pPr>
        <w:rPr>
          <w:rFonts w:ascii="Tahoma" w:eastAsia="Times New Roman" w:hAnsi="Tahoma" w:cs="Tahoma"/>
          <w:sz w:val="22"/>
          <w:szCs w:val="22"/>
          <w:lang w:eastAsia="fr-FR"/>
        </w:rPr>
      </w:pPr>
    </w:p>
    <w:p w14:paraId="1579248B" w14:textId="5E9ACB38" w:rsidR="00137EF9" w:rsidRPr="00B96FB5" w:rsidRDefault="00137EF9" w:rsidP="00B96FB5">
      <w:pPr>
        <w:ind w:left="720"/>
        <w:jc w:val="both"/>
        <w:rPr>
          <w:rFonts w:ascii="Tahoma" w:eastAsia="Calibri" w:hAnsi="Tahoma" w:cs="Tahoma"/>
          <w:sz w:val="22"/>
          <w:szCs w:val="22"/>
        </w:rPr>
      </w:pPr>
    </w:p>
    <w:sectPr w:rsidR="00137EF9" w:rsidRPr="00B96FB5" w:rsidSect="00DC25CE">
      <w:headerReference w:type="default" r:id="rId8"/>
      <w:footerReference w:type="default" r:id="rId9"/>
      <w:pgSz w:w="11900" w:h="16840"/>
      <w:pgMar w:top="1417" w:right="1417" w:bottom="1417" w:left="1417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3DAD" w14:textId="77777777" w:rsidR="00520B9E" w:rsidRDefault="00520B9E" w:rsidP="00A70889">
      <w:r>
        <w:separator/>
      </w:r>
    </w:p>
  </w:endnote>
  <w:endnote w:type="continuationSeparator" w:id="0">
    <w:p w14:paraId="14CC151C" w14:textId="77777777" w:rsidR="00520B9E" w:rsidRDefault="00520B9E" w:rsidP="00A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8E6" w14:textId="77777777" w:rsidR="00297638" w:rsidRDefault="00C6348A" w:rsidP="00297638">
    <w:pPr>
      <w:pStyle w:val="Pieddepage"/>
      <w:ind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656BC" wp14:editId="661A5092">
              <wp:simplePos x="0" y="0"/>
              <wp:positionH relativeFrom="column">
                <wp:posOffset>476250</wp:posOffset>
              </wp:positionH>
              <wp:positionV relativeFrom="paragraph">
                <wp:posOffset>159385</wp:posOffset>
              </wp:positionV>
              <wp:extent cx="4229100" cy="485775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753D6" w14:textId="77777777" w:rsidR="00457032" w:rsidRPr="00457032" w:rsidRDefault="00457032" w:rsidP="00457032">
                          <w:pPr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</w:pPr>
                          <w:r w:rsidRPr="00457032"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  <w:t>Siège social KP1 – Tél. 04 32 75 12 00</w:t>
                          </w:r>
                        </w:p>
                        <w:p w14:paraId="3AA7FBCE" w14:textId="77777777" w:rsid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91, Allée des Fenaisons – 84000 Avignon</w:t>
                          </w:r>
                        </w:p>
                        <w:p w14:paraId="5973D71D" w14:textId="77777777" w:rsidR="00457032" w:rsidRP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SAS au capital de 24 583 860 euros – RCS Avignon 976 320 309 – Code NAF : 2361Z</w:t>
                          </w:r>
                        </w:p>
                        <w:p w14:paraId="4C10661A" w14:textId="77777777" w:rsidR="00C6348A" w:rsidRPr="00457032" w:rsidRDefault="00C6348A" w:rsidP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  <w:p w14:paraId="2C29C2DF" w14:textId="77777777" w:rsidR="00C6348A" w:rsidRPr="00457032" w:rsidRDefault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656B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7.5pt;margin-top:12.55pt;width:33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xa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" filled="f" stroked="f" strokeweight=".5pt">
              <v:textbox>
                <w:txbxContent>
                  <w:p w14:paraId="388753D6" w14:textId="77777777" w:rsidR="00457032" w:rsidRPr="00457032" w:rsidRDefault="00457032" w:rsidP="00457032">
                    <w:pPr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</w:pPr>
                    <w:r w:rsidRPr="00457032"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  <w:t>Siège social KP1 – Tél. 04 32 75 12 00</w:t>
                    </w:r>
                  </w:p>
                  <w:p w14:paraId="3AA7FBCE" w14:textId="77777777" w:rsid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91, Allée des Fenaisons – 84000 Avignon</w:t>
                    </w:r>
                  </w:p>
                  <w:p w14:paraId="5973D71D" w14:textId="77777777" w:rsidR="00457032" w:rsidRP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SAS au capital de 24 583 860 euros – RCS Avignon 976 320 309 – Code NAF : 2361Z</w:t>
                    </w:r>
                  </w:p>
                  <w:p w14:paraId="4C10661A" w14:textId="77777777" w:rsidR="00C6348A" w:rsidRPr="00457032" w:rsidRDefault="00C6348A" w:rsidP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  <w:p w14:paraId="2C29C2DF" w14:textId="77777777" w:rsidR="00C6348A" w:rsidRPr="00457032" w:rsidRDefault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328D">
      <w:rPr>
        <w:noProof/>
      </w:rPr>
      <w:drawing>
        <wp:inline distT="0" distB="0" distL="0" distR="0" wp14:anchorId="1A91EEFF" wp14:editId="6B8A6D13">
          <wp:extent cx="6953310" cy="684000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1 - bas de page 195mm sans adress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" t="20047" r="1253" b="9306"/>
                  <a:stretch/>
                </pic:blipFill>
                <pic:spPr bwMode="auto">
                  <a:xfrm>
                    <a:off x="0" y="0"/>
                    <a:ext cx="6980731" cy="68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3C6068" w14:textId="77777777" w:rsidR="00A70889" w:rsidRDefault="00A708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9CB8" w14:textId="77777777" w:rsidR="00520B9E" w:rsidRDefault="00520B9E" w:rsidP="00A70889">
      <w:r>
        <w:separator/>
      </w:r>
    </w:p>
  </w:footnote>
  <w:footnote w:type="continuationSeparator" w:id="0">
    <w:p w14:paraId="3E8FFB49" w14:textId="77777777" w:rsidR="00520B9E" w:rsidRDefault="00520B9E" w:rsidP="00A7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EE01" w14:textId="77777777" w:rsidR="00297638" w:rsidRDefault="0059328D">
    <w:pPr>
      <w:pStyle w:val="En-tte"/>
    </w:pPr>
    <w:r>
      <w:rPr>
        <w:noProof/>
      </w:rPr>
      <w:drawing>
        <wp:inline distT="0" distB="0" distL="0" distR="0" wp14:anchorId="4F2B9A3D" wp14:editId="56C908E0">
          <wp:extent cx="1425555" cy="61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P1 2022 - BLE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8" t="28683" r="12188" b="25559"/>
                  <a:stretch/>
                </pic:blipFill>
                <pic:spPr bwMode="auto">
                  <a:xfrm>
                    <a:off x="0" y="0"/>
                    <a:ext cx="1458087" cy="62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33D6"/>
    <w:multiLevelType w:val="hybridMultilevel"/>
    <w:tmpl w:val="3E001226"/>
    <w:lvl w:ilvl="0" w:tplc="D3FCE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720FE"/>
    <w:multiLevelType w:val="hybridMultilevel"/>
    <w:tmpl w:val="753E5584"/>
    <w:lvl w:ilvl="0" w:tplc="62FCBE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64D01"/>
    <w:multiLevelType w:val="hybridMultilevel"/>
    <w:tmpl w:val="9F6A3CEE"/>
    <w:lvl w:ilvl="0" w:tplc="082240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29909">
    <w:abstractNumId w:val="1"/>
  </w:num>
  <w:num w:numId="2" w16cid:durableId="964821277">
    <w:abstractNumId w:val="1"/>
  </w:num>
  <w:num w:numId="3" w16cid:durableId="368140932">
    <w:abstractNumId w:val="0"/>
  </w:num>
  <w:num w:numId="4" w16cid:durableId="88645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3"/>
    <w:rsid w:val="00012EA2"/>
    <w:rsid w:val="000236CF"/>
    <w:rsid w:val="00027313"/>
    <w:rsid w:val="00033899"/>
    <w:rsid w:val="000C199B"/>
    <w:rsid w:val="000C4875"/>
    <w:rsid w:val="000D69BC"/>
    <w:rsid w:val="00137EF9"/>
    <w:rsid w:val="00153866"/>
    <w:rsid w:val="001A3095"/>
    <w:rsid w:val="001C5A99"/>
    <w:rsid w:val="001F4718"/>
    <w:rsid w:val="00235BB0"/>
    <w:rsid w:val="0025562C"/>
    <w:rsid w:val="00257AE7"/>
    <w:rsid w:val="00295D3B"/>
    <w:rsid w:val="00297638"/>
    <w:rsid w:val="00436DD8"/>
    <w:rsid w:val="00457032"/>
    <w:rsid w:val="00503BEB"/>
    <w:rsid w:val="00520B9E"/>
    <w:rsid w:val="0059328D"/>
    <w:rsid w:val="00613ED3"/>
    <w:rsid w:val="0065419A"/>
    <w:rsid w:val="006570AA"/>
    <w:rsid w:val="006903FA"/>
    <w:rsid w:val="006C13CC"/>
    <w:rsid w:val="007105E1"/>
    <w:rsid w:val="00723F95"/>
    <w:rsid w:val="00795153"/>
    <w:rsid w:val="008911E6"/>
    <w:rsid w:val="009C03DE"/>
    <w:rsid w:val="00A36E74"/>
    <w:rsid w:val="00A70889"/>
    <w:rsid w:val="00A91557"/>
    <w:rsid w:val="00B96FB5"/>
    <w:rsid w:val="00C0289B"/>
    <w:rsid w:val="00C6348A"/>
    <w:rsid w:val="00CC7335"/>
    <w:rsid w:val="00CC7DED"/>
    <w:rsid w:val="00D13843"/>
    <w:rsid w:val="00DB4DC3"/>
    <w:rsid w:val="00DC25CE"/>
    <w:rsid w:val="00E01A52"/>
    <w:rsid w:val="00F15611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0C585602"/>
  <w15:chartTrackingRefBased/>
  <w15:docId w15:val="{5A940577-926E-1241-AC3D-7699DE02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73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137EF9"/>
    <w:pPr>
      <w:keepNext/>
      <w:tabs>
        <w:tab w:val="left" w:pos="980"/>
      </w:tabs>
      <w:ind w:right="-32"/>
      <w:jc w:val="both"/>
      <w:outlineLvl w:val="3"/>
    </w:pPr>
    <w:rPr>
      <w:rFonts w:ascii="Arial" w:eastAsia="Times New Roman" w:hAnsi="Arial" w:cs="Times New Roman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89"/>
  </w:style>
  <w:style w:type="paragraph" w:styleId="Pieddepage">
    <w:name w:val="footer"/>
    <w:basedOn w:val="Normal"/>
    <w:link w:val="Pieddepag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89"/>
  </w:style>
  <w:style w:type="character" w:customStyle="1" w:styleId="Titre4Car">
    <w:name w:val="Titre 4 Car"/>
    <w:basedOn w:val="Policepardfaut"/>
    <w:link w:val="Titre4"/>
    <w:rsid w:val="00137EF9"/>
    <w:rPr>
      <w:rFonts w:ascii="Arial" w:eastAsia="Times New Roman" w:hAnsi="Arial" w:cs="Times New Roman"/>
      <w:b/>
      <w:szCs w:val="20"/>
      <w:u w:val="single"/>
      <w:lang w:eastAsia="fr-FR"/>
    </w:rPr>
  </w:style>
  <w:style w:type="paragraph" w:styleId="Textebrut">
    <w:name w:val="Plain Text"/>
    <w:basedOn w:val="Normal"/>
    <w:link w:val="TextebrutCar"/>
    <w:unhideWhenUsed/>
    <w:rsid w:val="00DC25CE"/>
    <w:rPr>
      <w:rFonts w:ascii="Arial" w:eastAsia="Calibri" w:hAnsi="Arial" w:cs="Times New Roman"/>
      <w:sz w:val="16"/>
      <w:szCs w:val="21"/>
    </w:rPr>
  </w:style>
  <w:style w:type="character" w:customStyle="1" w:styleId="TextebrutCar">
    <w:name w:val="Texte brut Car"/>
    <w:basedOn w:val="Policepardfaut"/>
    <w:link w:val="Textebrut"/>
    <w:rsid w:val="00DC25CE"/>
    <w:rPr>
      <w:rFonts w:ascii="Arial" w:eastAsia="Calibri" w:hAnsi="Arial" w:cs="Times New Roman"/>
      <w:sz w:val="16"/>
      <w:szCs w:val="21"/>
    </w:rPr>
  </w:style>
  <w:style w:type="paragraph" w:styleId="Sansinterligne">
    <w:name w:val="No Spacing"/>
    <w:qFormat/>
    <w:rsid w:val="00DC25CE"/>
    <w:rPr>
      <w:rFonts w:ascii="Calibri" w:eastAsia="Calibri" w:hAnsi="Calibri" w:cs="Times New Roman"/>
      <w:sz w:val="22"/>
      <w:szCs w:val="22"/>
    </w:rPr>
  </w:style>
  <w:style w:type="paragraph" w:styleId="Titre">
    <w:name w:val="Title"/>
    <w:basedOn w:val="Normal"/>
    <w:link w:val="TitreCar"/>
    <w:qFormat/>
    <w:rsid w:val="00DC25CE"/>
    <w:pPr>
      <w:jc w:val="center"/>
    </w:pPr>
    <w:rPr>
      <w:rFonts w:ascii="Verdana" w:eastAsia="Times New Roman" w:hAnsi="Verdana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DC25CE"/>
    <w:rPr>
      <w:rFonts w:ascii="Verdana" w:eastAsia="Times New Roman" w:hAnsi="Verdana" w:cs="Times New Roman"/>
      <w:b/>
      <w:bCs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2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6ECF5-FAF5-9647-AAA1-AB31978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Sophia JOHNSON</cp:lastModifiedBy>
  <cp:revision>22</cp:revision>
  <dcterms:created xsi:type="dcterms:W3CDTF">2021-07-11T15:45:00Z</dcterms:created>
  <dcterms:modified xsi:type="dcterms:W3CDTF">2025-12-01T10:44:00Z</dcterms:modified>
</cp:coreProperties>
</file>