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E4752" w14:textId="77777777" w:rsidR="00D83486" w:rsidRDefault="00D83486">
      <w:pPr>
        <w:pStyle w:val="Titre"/>
        <w:jc w:val="left"/>
      </w:pPr>
    </w:p>
    <w:p w14:paraId="6FD30780" w14:textId="77777777" w:rsidR="00491A83" w:rsidRDefault="00491A83">
      <w:pPr>
        <w:pStyle w:val="Titre"/>
        <w:jc w:val="left"/>
      </w:pPr>
    </w:p>
    <w:p w14:paraId="0DD3BD3A" w14:textId="77777777" w:rsidR="00491A83" w:rsidRPr="000E7358" w:rsidRDefault="00491A83" w:rsidP="00491A83">
      <w:pPr>
        <w:pStyle w:val="Sansinterligne"/>
        <w:rPr>
          <w:rFonts w:ascii="Verdana" w:hAnsi="Verdana"/>
          <w:b/>
          <w:color w:val="F79646" w:themeColor="accent6"/>
          <w:szCs w:val="24"/>
        </w:rPr>
      </w:pPr>
      <w:r w:rsidRPr="000E7358">
        <w:rPr>
          <w:rFonts w:ascii="Verdana" w:hAnsi="Verdana"/>
          <w:b/>
          <w:color w:val="F79646" w:themeColor="accent6"/>
          <w:szCs w:val="24"/>
        </w:rPr>
        <w:t>Descriptif succinct</w:t>
      </w:r>
      <w:r w:rsidR="000E7358" w:rsidRPr="000E7358">
        <w:rPr>
          <w:rFonts w:ascii="Verdana" w:hAnsi="Verdana"/>
          <w:b/>
          <w:color w:val="F79646" w:themeColor="accent6"/>
          <w:szCs w:val="24"/>
        </w:rPr>
        <w:t xml:space="preserve"> (pour DPGF)</w:t>
      </w:r>
      <w:r w:rsidRPr="000E7358">
        <w:rPr>
          <w:rFonts w:ascii="Verdana" w:hAnsi="Verdana"/>
          <w:b/>
          <w:color w:val="F79646" w:themeColor="accent6"/>
          <w:szCs w:val="24"/>
        </w:rPr>
        <w:t> :</w:t>
      </w:r>
    </w:p>
    <w:p w14:paraId="0F0F1A23" w14:textId="77777777" w:rsidR="00491A83" w:rsidRPr="000E7358" w:rsidRDefault="00491A83" w:rsidP="00491A83">
      <w:pPr>
        <w:pStyle w:val="Sansinterligne"/>
        <w:rPr>
          <w:rFonts w:ascii="Verdana" w:hAnsi="Verdana"/>
          <w:color w:val="F79646" w:themeColor="accent6"/>
          <w:szCs w:val="24"/>
        </w:rPr>
      </w:pPr>
    </w:p>
    <w:p w14:paraId="516A6FCE" w14:textId="7403387A" w:rsidR="00491A83" w:rsidRPr="000E7358" w:rsidRDefault="00491A83" w:rsidP="00491A83">
      <w:pPr>
        <w:pStyle w:val="Sansinterligne"/>
        <w:rPr>
          <w:rFonts w:ascii="Verdana" w:hAnsi="Verdana"/>
          <w:color w:val="F79646" w:themeColor="accent6"/>
          <w:szCs w:val="24"/>
        </w:rPr>
      </w:pPr>
      <w:r w:rsidRPr="000E7358">
        <w:rPr>
          <w:rFonts w:ascii="Verdana" w:hAnsi="Verdana"/>
          <w:color w:val="F79646" w:themeColor="accent6"/>
          <w:szCs w:val="24"/>
        </w:rPr>
        <w:t>Plancher</w:t>
      </w:r>
      <w:r w:rsidR="009A0AE6">
        <w:rPr>
          <w:rFonts w:ascii="Verdana" w:hAnsi="Verdana"/>
          <w:color w:val="F79646" w:themeColor="accent6"/>
          <w:szCs w:val="24"/>
        </w:rPr>
        <w:t xml:space="preserve"> </w:t>
      </w:r>
      <w:r w:rsidRPr="000E7358">
        <w:rPr>
          <w:rFonts w:ascii="Verdana" w:hAnsi="Verdana"/>
          <w:color w:val="F79646" w:themeColor="accent6"/>
          <w:szCs w:val="24"/>
        </w:rPr>
        <w:t>non-isolant</w:t>
      </w:r>
      <w:r w:rsidR="009A0AE6">
        <w:rPr>
          <w:rFonts w:ascii="Verdana" w:hAnsi="Verdana"/>
          <w:color w:val="F79646" w:themeColor="accent6"/>
          <w:szCs w:val="24"/>
        </w:rPr>
        <w:t xml:space="preserve"> </w:t>
      </w:r>
      <w:r w:rsidRPr="000E7358">
        <w:rPr>
          <w:rFonts w:ascii="Verdana" w:hAnsi="Verdana"/>
          <w:color w:val="F79646" w:themeColor="accent6"/>
          <w:szCs w:val="24"/>
        </w:rPr>
        <w:t xml:space="preserve">KP1 </w:t>
      </w:r>
      <w:r w:rsidR="009A0AE6">
        <w:rPr>
          <w:rFonts w:ascii="Verdana" w:hAnsi="Verdana"/>
          <w:color w:val="F79646" w:themeColor="accent6"/>
          <w:szCs w:val="24"/>
        </w:rPr>
        <w:t xml:space="preserve">sur Vide Sanitaire, </w:t>
      </w:r>
      <w:r w:rsidRPr="000E7358">
        <w:rPr>
          <w:rFonts w:ascii="Verdana" w:hAnsi="Verdana"/>
          <w:color w:val="F79646" w:themeColor="accent6"/>
          <w:szCs w:val="24"/>
        </w:rPr>
        <w:t>épaisseur 13+4</w:t>
      </w:r>
      <w:r w:rsidR="008B4375">
        <w:rPr>
          <w:rFonts w:ascii="Verdana" w:hAnsi="Verdana"/>
          <w:color w:val="F79646" w:themeColor="accent6"/>
          <w:szCs w:val="24"/>
        </w:rPr>
        <w:t xml:space="preserve"> </w:t>
      </w:r>
      <w:r w:rsidRPr="000E7358">
        <w:rPr>
          <w:rFonts w:ascii="Verdana" w:hAnsi="Verdana"/>
          <w:color w:val="F79646" w:themeColor="accent6"/>
          <w:szCs w:val="24"/>
        </w:rPr>
        <w:t xml:space="preserve">cm avec poutrelles préfabriquées en béton précontraint sans étais, entrevous légers en matériau </w:t>
      </w:r>
      <w:r w:rsidR="008B4375">
        <w:rPr>
          <w:rFonts w:ascii="Verdana" w:hAnsi="Verdana"/>
          <w:color w:val="F79646" w:themeColor="accent6"/>
          <w:szCs w:val="24"/>
        </w:rPr>
        <w:t>recyclé</w:t>
      </w:r>
      <w:r w:rsidRPr="000E7358">
        <w:rPr>
          <w:rFonts w:ascii="Verdana" w:hAnsi="Verdana"/>
          <w:color w:val="F79646" w:themeColor="accent6"/>
          <w:szCs w:val="24"/>
        </w:rPr>
        <w:t xml:space="preserve"> </w:t>
      </w:r>
      <w:r w:rsidR="008B4375">
        <w:rPr>
          <w:rFonts w:ascii="Verdana" w:hAnsi="Verdana"/>
          <w:color w:val="F79646" w:themeColor="accent6"/>
          <w:szCs w:val="24"/>
        </w:rPr>
        <w:t>EMR KP1</w:t>
      </w:r>
      <w:r w:rsidR="001A2F4B">
        <w:rPr>
          <w:rFonts w:ascii="Verdana" w:hAnsi="Verdana"/>
          <w:color w:val="F79646" w:themeColor="accent6"/>
          <w:szCs w:val="24"/>
        </w:rPr>
        <w:t xml:space="preserve"> ou EcoVS KP1</w:t>
      </w:r>
      <w:r w:rsidRPr="000E7358">
        <w:rPr>
          <w:rFonts w:ascii="Verdana" w:hAnsi="Verdana"/>
          <w:color w:val="F79646" w:themeColor="accent6"/>
          <w:szCs w:val="24"/>
        </w:rPr>
        <w:t xml:space="preserve">. </w:t>
      </w:r>
    </w:p>
    <w:p w14:paraId="7B50096C" w14:textId="77777777" w:rsidR="00491A83" w:rsidRPr="000E7358" w:rsidRDefault="00491A83">
      <w:pPr>
        <w:pStyle w:val="Titre"/>
        <w:jc w:val="left"/>
        <w:rPr>
          <w:color w:val="F79646" w:themeColor="accent6"/>
        </w:rPr>
      </w:pPr>
    </w:p>
    <w:p w14:paraId="6B1F07FC" w14:textId="77777777" w:rsidR="00D83486" w:rsidRDefault="00D83486">
      <w:pPr>
        <w:pStyle w:val="Titre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83486" w14:paraId="3EA73504" w14:textId="77777777">
        <w:tc>
          <w:tcPr>
            <w:tcW w:w="9212" w:type="dxa"/>
          </w:tcPr>
          <w:p w14:paraId="208237E6" w14:textId="27050C31" w:rsidR="00D83486" w:rsidRDefault="00A822D8">
            <w:pPr>
              <w:pStyle w:val="Sansinterligne"/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>
              <w:rPr>
                <w:rFonts w:ascii="Verdana" w:hAnsi="Verdana"/>
                <w:b/>
                <w:sz w:val="28"/>
                <w:szCs w:val="24"/>
              </w:rPr>
              <w:t>Plancher préfabriqué en poutrelles béton précontraint et entrevous légers de coffrage simple</w:t>
            </w:r>
            <w:r w:rsidR="006B04AD">
              <w:rPr>
                <w:rFonts w:ascii="Verdana" w:hAnsi="Verdana"/>
                <w:b/>
                <w:sz w:val="28"/>
                <w:szCs w:val="24"/>
              </w:rPr>
              <w:t xml:space="preserve"> en matière première recyclée</w:t>
            </w:r>
          </w:p>
        </w:tc>
      </w:tr>
    </w:tbl>
    <w:p w14:paraId="2FA9B8B7" w14:textId="77777777" w:rsidR="00D83486" w:rsidRDefault="00D83486">
      <w:pPr>
        <w:pStyle w:val="Sansinterligne"/>
        <w:rPr>
          <w:rFonts w:ascii="Verdana" w:hAnsi="Verdana"/>
          <w:sz w:val="18"/>
        </w:rPr>
      </w:pPr>
    </w:p>
    <w:p w14:paraId="1D200B4A" w14:textId="77777777" w:rsidR="00905DD8" w:rsidRPr="00905DD8" w:rsidRDefault="00905DD8">
      <w:pPr>
        <w:pStyle w:val="Sansinterligne"/>
        <w:rPr>
          <w:rFonts w:ascii="Verdana" w:hAnsi="Verdana"/>
          <w:b/>
          <w:sz w:val="18"/>
        </w:rPr>
      </w:pPr>
      <w:r w:rsidRPr="00905DD8">
        <w:rPr>
          <w:rFonts w:ascii="Verdana" w:hAnsi="Verdana"/>
          <w:b/>
          <w:highlight w:val="cyan"/>
        </w:rPr>
        <w:t>Lots Gros Œuvre</w:t>
      </w:r>
      <w:r w:rsidRPr="00905DD8">
        <w:rPr>
          <w:rFonts w:ascii="Verdana" w:hAnsi="Verdana"/>
          <w:b/>
          <w:sz w:val="18"/>
        </w:rPr>
        <w:t xml:space="preserve"> </w:t>
      </w:r>
    </w:p>
    <w:p w14:paraId="715DE24F" w14:textId="77777777" w:rsidR="00905DD8" w:rsidRDefault="00905DD8">
      <w:pPr>
        <w:pStyle w:val="Sansinterligne"/>
        <w:rPr>
          <w:rFonts w:ascii="Verdana" w:hAnsi="Verdana"/>
          <w:sz w:val="18"/>
        </w:rPr>
      </w:pPr>
    </w:p>
    <w:p w14:paraId="39BFD507" w14:textId="1AB0ED3E" w:rsidR="00D83486" w:rsidRDefault="00A822D8">
      <w:pPr>
        <w:pStyle w:val="Sansinterligne"/>
        <w:jc w:val="both"/>
        <w:rPr>
          <w:rFonts w:ascii="Verdana" w:hAnsi="Verdana"/>
        </w:rPr>
      </w:pPr>
      <w:r>
        <w:rPr>
          <w:rFonts w:ascii="Verdana" w:hAnsi="Verdana"/>
        </w:rPr>
        <w:t xml:space="preserve">Mise en </w:t>
      </w:r>
      <w:r w:rsidR="00905DD8">
        <w:rPr>
          <w:rFonts w:ascii="Verdana" w:hAnsi="Verdana"/>
        </w:rPr>
        <w:t xml:space="preserve">œuvre </w:t>
      </w:r>
      <w:r>
        <w:rPr>
          <w:rFonts w:ascii="Verdana" w:hAnsi="Verdana"/>
        </w:rPr>
        <w:t xml:space="preserve">d’un plancher </w:t>
      </w:r>
      <w:r w:rsidR="006B04AD">
        <w:rPr>
          <w:rFonts w:ascii="Verdana" w:hAnsi="Verdana"/>
        </w:rPr>
        <w:t>de 17</w:t>
      </w:r>
      <w:r w:rsidR="001A2F4B">
        <w:rPr>
          <w:rFonts w:ascii="Verdana" w:hAnsi="Verdana"/>
        </w:rPr>
        <w:t>/20</w:t>
      </w:r>
      <w:r w:rsidR="006B04AD">
        <w:rPr>
          <w:rFonts w:ascii="Verdana" w:hAnsi="Verdana"/>
        </w:rPr>
        <w:t xml:space="preserve"> cm d’épaisseur</w:t>
      </w:r>
      <w:r w:rsidR="00F82481">
        <w:rPr>
          <w:rFonts w:ascii="Verdana" w:hAnsi="Verdana"/>
        </w:rPr>
        <w:t>,</w:t>
      </w:r>
      <w:r>
        <w:rPr>
          <w:rFonts w:ascii="Verdana" w:hAnsi="Verdana"/>
        </w:rPr>
        <w:t xml:space="preserve"> en poutrelles béton précontraint et entrevous légers de coffrage simple</w:t>
      </w:r>
      <w:r w:rsidR="006B04AD">
        <w:rPr>
          <w:rFonts w:ascii="Verdana" w:hAnsi="Verdana"/>
        </w:rPr>
        <w:t>, composé à 100% de matière première recyclée</w:t>
      </w:r>
      <w:r>
        <w:rPr>
          <w:rFonts w:ascii="Verdana" w:hAnsi="Verdana"/>
        </w:rPr>
        <w:t>.</w:t>
      </w:r>
    </w:p>
    <w:p w14:paraId="0F5C4FC7" w14:textId="77777777" w:rsidR="00D83486" w:rsidRDefault="00D83486">
      <w:pPr>
        <w:pStyle w:val="Sansinterligne"/>
        <w:jc w:val="both"/>
        <w:rPr>
          <w:rFonts w:ascii="Verdana" w:hAnsi="Verdana"/>
        </w:rPr>
      </w:pPr>
    </w:p>
    <w:p w14:paraId="636D3DC9" w14:textId="2A16E405" w:rsidR="00D83486" w:rsidRDefault="00A822D8">
      <w:pPr>
        <w:pStyle w:val="Sansinterligne"/>
        <w:jc w:val="both"/>
        <w:rPr>
          <w:rFonts w:ascii="Verdana" w:hAnsi="Verdana"/>
        </w:rPr>
      </w:pPr>
      <w:r>
        <w:rPr>
          <w:rFonts w:ascii="Verdana" w:hAnsi="Verdana"/>
        </w:rPr>
        <w:t xml:space="preserve">Le plancher sera constitué de poutrelles en béton précontraint KP1, </w:t>
      </w:r>
      <w:r w:rsidR="001A2F4B">
        <w:rPr>
          <w:rFonts w:ascii="Verdana" w:hAnsi="Verdana"/>
        </w:rPr>
        <w:t xml:space="preserve">prévue pour une pose </w:t>
      </w:r>
      <w:r>
        <w:rPr>
          <w:rFonts w:ascii="Verdana" w:hAnsi="Verdana"/>
        </w:rPr>
        <w:t xml:space="preserve">sans étais, dimensionnées suivant les préconisations du fabricant. Il sera constitué d’entrevous légers de coffrage simple en matériau </w:t>
      </w:r>
      <w:r w:rsidR="006B04AD">
        <w:rPr>
          <w:rFonts w:ascii="Verdana" w:hAnsi="Verdana"/>
        </w:rPr>
        <w:t>recyclé</w:t>
      </w:r>
      <w:r>
        <w:rPr>
          <w:rFonts w:ascii="Verdana" w:hAnsi="Verdana"/>
        </w:rPr>
        <w:t xml:space="preserve">, d’une hauteur </w:t>
      </w:r>
      <w:proofErr w:type="spellStart"/>
      <w:r>
        <w:rPr>
          <w:rFonts w:ascii="Verdana" w:hAnsi="Verdana"/>
        </w:rPr>
        <w:t>coffrante</w:t>
      </w:r>
      <w:proofErr w:type="spellEnd"/>
      <w:r>
        <w:rPr>
          <w:rFonts w:ascii="Verdana" w:hAnsi="Verdana"/>
        </w:rPr>
        <w:t xml:space="preserve"> de 13</w:t>
      </w:r>
      <w:r w:rsidR="001A2F4B">
        <w:rPr>
          <w:rFonts w:ascii="Verdana" w:hAnsi="Verdana"/>
        </w:rPr>
        <w:t>/16</w:t>
      </w:r>
      <w:r w:rsidR="0041608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cm, de type </w:t>
      </w:r>
      <w:r w:rsidR="00491A83">
        <w:rPr>
          <w:rFonts w:ascii="Verdana" w:hAnsi="Verdana"/>
        </w:rPr>
        <w:t>EM</w:t>
      </w:r>
      <w:r w:rsidR="0041608C">
        <w:rPr>
          <w:rFonts w:ascii="Verdana" w:hAnsi="Verdana"/>
        </w:rPr>
        <w:t>R KP1</w:t>
      </w:r>
      <w:r w:rsidR="001A2F4B">
        <w:rPr>
          <w:rFonts w:ascii="Verdana" w:hAnsi="Verdana"/>
        </w:rPr>
        <w:t xml:space="preserve"> ou EcoVS KP1</w:t>
      </w:r>
      <w:r>
        <w:rPr>
          <w:rFonts w:ascii="Verdana" w:hAnsi="Verdana"/>
        </w:rPr>
        <w:t>.</w:t>
      </w:r>
    </w:p>
    <w:p w14:paraId="70E84692" w14:textId="77777777" w:rsidR="00D83486" w:rsidRDefault="00D83486">
      <w:pPr>
        <w:jc w:val="both"/>
        <w:rPr>
          <w:rFonts w:ascii="Verdana" w:hAnsi="Verdana"/>
          <w:sz w:val="22"/>
        </w:rPr>
      </w:pPr>
    </w:p>
    <w:p w14:paraId="19E8473A" w14:textId="62015EFC" w:rsidR="00D83486" w:rsidRDefault="00A822D8">
      <w:pPr>
        <w:pStyle w:val="Sansinterligne"/>
        <w:jc w:val="both"/>
        <w:rPr>
          <w:rFonts w:ascii="Verdana" w:eastAsia="Times New Roman" w:hAnsi="Verdana"/>
          <w:szCs w:val="24"/>
          <w:lang w:eastAsia="fr-FR"/>
        </w:rPr>
      </w:pPr>
      <w:r>
        <w:rPr>
          <w:rFonts w:ascii="Verdana" w:eastAsia="Times New Roman" w:hAnsi="Verdana"/>
          <w:szCs w:val="24"/>
          <w:lang w:eastAsia="fr-FR"/>
        </w:rPr>
        <w:t xml:space="preserve">La mise en œuvre du plancher se fera </w:t>
      </w:r>
      <w:r>
        <w:rPr>
          <w:rFonts w:ascii="Verdana" w:hAnsi="Verdana"/>
        </w:rPr>
        <w:t>conformément à l’</w:t>
      </w:r>
      <w:r>
        <w:rPr>
          <w:rFonts w:ascii="Verdana" w:hAnsi="Verdana"/>
          <w:bCs/>
        </w:rPr>
        <w:t xml:space="preserve">Avis Technique CSTB </w:t>
      </w:r>
      <w:r w:rsidR="00647260" w:rsidRPr="00A2144E">
        <w:rPr>
          <w:rFonts w:ascii="Verdana" w:hAnsi="Verdana"/>
        </w:rPr>
        <w:t>n°</w:t>
      </w:r>
      <w:r w:rsidR="000259E6" w:rsidRPr="000259E6">
        <w:rPr>
          <w:rFonts w:ascii="Verdana" w:hAnsi="Verdana"/>
        </w:rPr>
        <w:t>3.1/18-957_V2</w:t>
      </w:r>
      <w:r w:rsidR="000259E6">
        <w:rPr>
          <w:rFonts w:ascii="Verdana" w:hAnsi="Verdana"/>
        </w:rPr>
        <w:t xml:space="preserve"> </w:t>
      </w:r>
      <w:r w:rsidR="00E76B75">
        <w:rPr>
          <w:rFonts w:ascii="Verdana" w:hAnsi="Verdana"/>
        </w:rPr>
        <w:t>et son domaine d’emploi visé</w:t>
      </w:r>
      <w:r>
        <w:rPr>
          <w:rFonts w:ascii="Verdana" w:hAnsi="Verdana"/>
        </w:rPr>
        <w:t>.</w:t>
      </w:r>
      <w:r>
        <w:rPr>
          <w:rFonts w:ascii="Verdana" w:eastAsia="Times New Roman" w:hAnsi="Verdana"/>
          <w:szCs w:val="24"/>
          <w:lang w:eastAsia="fr-FR"/>
        </w:rPr>
        <w:t xml:space="preserve"> </w:t>
      </w:r>
    </w:p>
    <w:p w14:paraId="7F013D08" w14:textId="77777777" w:rsidR="00D83486" w:rsidRDefault="00D83486">
      <w:pPr>
        <w:jc w:val="both"/>
        <w:rPr>
          <w:rFonts w:ascii="Verdana" w:hAnsi="Verdana"/>
          <w:sz w:val="22"/>
        </w:rPr>
      </w:pPr>
    </w:p>
    <w:p w14:paraId="6D8F4840" w14:textId="22D6F335" w:rsidR="00D83486" w:rsidRPr="00E76B75" w:rsidRDefault="00A822D8">
      <w:pPr>
        <w:pStyle w:val="Titre"/>
        <w:jc w:val="both"/>
        <w:rPr>
          <w:b w:val="0"/>
          <w:sz w:val="22"/>
        </w:rPr>
      </w:pPr>
      <w:r>
        <w:rPr>
          <w:b w:val="0"/>
          <w:sz w:val="22"/>
        </w:rPr>
        <w:t xml:space="preserve">La dalle de compression sera en béton de type C25/30, d’épaisseur minimale de 4 cm (suivant Avis Technique CSTB </w:t>
      </w:r>
      <w:r w:rsidR="00294C82" w:rsidRPr="00294C82">
        <w:rPr>
          <w:b w:val="0"/>
          <w:sz w:val="22"/>
        </w:rPr>
        <w:t>3.1/18-957_V2</w:t>
      </w:r>
      <w:r w:rsidR="00294C82">
        <w:rPr>
          <w:b w:val="0"/>
          <w:sz w:val="22"/>
        </w:rPr>
        <w:t xml:space="preserve"> </w:t>
      </w:r>
      <w:r w:rsidR="002404EA" w:rsidRPr="00E76B75">
        <w:rPr>
          <w:b w:val="0"/>
          <w:sz w:val="22"/>
        </w:rPr>
        <w:t>et son domaine d’emploi visé</w:t>
      </w:r>
      <w:r>
        <w:rPr>
          <w:b w:val="0"/>
          <w:sz w:val="22"/>
        </w:rPr>
        <w:t>). Elle sera armée d’un treillis soudé sur toute la surface.</w:t>
      </w:r>
    </w:p>
    <w:p w14:paraId="2CD3B244" w14:textId="77777777" w:rsidR="00D83486" w:rsidRDefault="00D83486">
      <w:pPr>
        <w:pStyle w:val="Titre"/>
        <w:jc w:val="left"/>
      </w:pPr>
    </w:p>
    <w:p w14:paraId="506AADA6" w14:textId="77777777" w:rsidR="00D83486" w:rsidRDefault="00D83486">
      <w:pPr>
        <w:pStyle w:val="Titre"/>
      </w:pPr>
    </w:p>
    <w:p w14:paraId="27949611" w14:textId="77777777" w:rsidR="00D83486" w:rsidRDefault="00D83486">
      <w:pPr>
        <w:pStyle w:val="Titre"/>
        <w:jc w:val="left"/>
        <w:rPr>
          <w:b w:val="0"/>
        </w:rPr>
      </w:pPr>
    </w:p>
    <w:sectPr w:rsidR="00D83486" w:rsidSect="00D834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EB9CA" w14:textId="77777777" w:rsidR="00E65D38" w:rsidRDefault="00E65D38">
      <w:r>
        <w:separator/>
      </w:r>
    </w:p>
  </w:endnote>
  <w:endnote w:type="continuationSeparator" w:id="0">
    <w:p w14:paraId="2501089E" w14:textId="77777777" w:rsidR="00E65D38" w:rsidRDefault="00E6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2345C" w14:textId="77777777" w:rsidR="00D83486" w:rsidRDefault="00294C82">
    <w:pPr>
      <w:pStyle w:val="Pieddepage"/>
      <w:ind w:right="360"/>
      <w:jc w:val="center"/>
      <w:rPr>
        <w:rFonts w:ascii="Verdana" w:hAnsi="Verdana"/>
        <w:i/>
        <w:iCs/>
        <w:color w:val="6380BE"/>
        <w:sz w:val="20"/>
      </w:rPr>
    </w:pPr>
    <w:r>
      <w:rPr>
        <w:rFonts w:ascii="Verdana" w:hAnsi="Verdana"/>
        <w:i/>
        <w:iCs/>
        <w:noProof/>
        <w:color w:val="6380BE"/>
        <w:sz w:val="20"/>
      </w:rPr>
      <w:object w:dxaOrig="1440" w:dyaOrig="1440" w14:anchorId="0B9F8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23pt;margin-top:9.95pt;width:28.5pt;height:28.5pt;z-index:251658240;mso-wrap-edited:f" wrapcoords="-568 0 -568 21032 21600 21032 21600 0 -568 0">
          <v:imagedata r:id="rId1" o:title=""/>
          <w10:wrap type="tight"/>
        </v:shape>
        <o:OLEObject Type="Embed" ProgID="PBrush" ShapeID="_x0000_s2051" DrawAspect="Content" ObjectID="_1678196089" r:id="rId2"/>
      </w:object>
    </w:r>
    <w:r w:rsidR="00A822D8">
      <w:rPr>
        <w:rFonts w:ascii="Verdana" w:hAnsi="Verdana"/>
        <w:i/>
        <w:iCs/>
        <w:color w:val="6380BE"/>
        <w:sz w:val="20"/>
      </w:rPr>
      <w:t xml:space="preserve">Page </w:t>
    </w:r>
    <w:r w:rsidR="00B84595">
      <w:rPr>
        <w:rFonts w:ascii="Verdana" w:hAnsi="Verdana"/>
        <w:i/>
        <w:iCs/>
        <w:color w:val="6380BE"/>
        <w:sz w:val="20"/>
      </w:rPr>
      <w:fldChar w:fldCharType="begin"/>
    </w:r>
    <w:r w:rsidR="00A822D8">
      <w:rPr>
        <w:rFonts w:ascii="Verdana" w:hAnsi="Verdana"/>
        <w:i/>
        <w:iCs/>
        <w:color w:val="6380BE"/>
        <w:sz w:val="20"/>
      </w:rPr>
      <w:instrText xml:space="preserve"> PAGE </w:instrText>
    </w:r>
    <w:r w:rsidR="00B84595">
      <w:rPr>
        <w:rFonts w:ascii="Verdana" w:hAnsi="Verdana"/>
        <w:i/>
        <w:iCs/>
        <w:color w:val="6380BE"/>
        <w:sz w:val="20"/>
      </w:rPr>
      <w:fldChar w:fldCharType="separate"/>
    </w:r>
    <w:r w:rsidR="00E76B75">
      <w:rPr>
        <w:rFonts w:ascii="Verdana" w:hAnsi="Verdana"/>
        <w:i/>
        <w:iCs/>
        <w:noProof/>
        <w:color w:val="6380BE"/>
        <w:sz w:val="20"/>
      </w:rPr>
      <w:t>1</w:t>
    </w:r>
    <w:r w:rsidR="00B84595">
      <w:rPr>
        <w:rFonts w:ascii="Verdana" w:hAnsi="Verdana"/>
        <w:i/>
        <w:iCs/>
        <w:color w:val="6380BE"/>
        <w:sz w:val="20"/>
      </w:rPr>
      <w:fldChar w:fldCharType="end"/>
    </w:r>
    <w:r w:rsidR="00A822D8">
      <w:rPr>
        <w:rFonts w:ascii="Verdana" w:hAnsi="Verdana"/>
        <w:i/>
        <w:iCs/>
        <w:color w:val="6380BE"/>
        <w:sz w:val="20"/>
      </w:rPr>
      <w:t xml:space="preserve"> sur </w:t>
    </w:r>
    <w:r w:rsidR="00B84595">
      <w:rPr>
        <w:rFonts w:ascii="Verdana" w:hAnsi="Verdana"/>
        <w:i/>
        <w:iCs/>
        <w:color w:val="6380BE"/>
        <w:sz w:val="20"/>
      </w:rPr>
      <w:fldChar w:fldCharType="begin"/>
    </w:r>
    <w:r w:rsidR="00A822D8">
      <w:rPr>
        <w:rFonts w:ascii="Verdana" w:hAnsi="Verdana"/>
        <w:i/>
        <w:iCs/>
        <w:color w:val="6380BE"/>
        <w:sz w:val="20"/>
      </w:rPr>
      <w:instrText xml:space="preserve"> NUMPAGES </w:instrText>
    </w:r>
    <w:r w:rsidR="00B84595">
      <w:rPr>
        <w:rFonts w:ascii="Verdana" w:hAnsi="Verdana"/>
        <w:i/>
        <w:iCs/>
        <w:color w:val="6380BE"/>
        <w:sz w:val="20"/>
      </w:rPr>
      <w:fldChar w:fldCharType="separate"/>
    </w:r>
    <w:r w:rsidR="00E76B75">
      <w:rPr>
        <w:rFonts w:ascii="Verdana" w:hAnsi="Verdana"/>
        <w:i/>
        <w:iCs/>
        <w:noProof/>
        <w:color w:val="6380BE"/>
        <w:sz w:val="20"/>
      </w:rPr>
      <w:t>1</w:t>
    </w:r>
    <w:r w:rsidR="00B84595">
      <w:rPr>
        <w:rFonts w:ascii="Verdana" w:hAnsi="Verdana"/>
        <w:i/>
        <w:iCs/>
        <w:color w:val="6380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B406E" w14:textId="77777777" w:rsidR="00E65D38" w:rsidRDefault="00E65D38">
      <w:r>
        <w:separator/>
      </w:r>
    </w:p>
  </w:footnote>
  <w:footnote w:type="continuationSeparator" w:id="0">
    <w:p w14:paraId="4F1236EE" w14:textId="77777777" w:rsidR="00E65D38" w:rsidRDefault="00E6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E2C28" w14:textId="77777777" w:rsidR="00D83486" w:rsidRDefault="00A822D8">
    <w:pPr>
      <w:pStyle w:val="En-tte"/>
      <w:jc w:val="right"/>
      <w:rPr>
        <w:rFonts w:ascii="Verdana" w:hAnsi="Verdana"/>
        <w:snapToGrid w:val="0"/>
        <w:color w:val="000000"/>
        <w:sz w:val="2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47E34FF5" wp14:editId="767F45A3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838325" cy="685800"/>
          <wp:effectExtent l="19050" t="0" r="9525" b="0"/>
          <wp:wrapTight wrapText="bothSides">
            <wp:wrapPolygon edited="0">
              <wp:start x="-224" y="0"/>
              <wp:lineTo x="-224" y="21000"/>
              <wp:lineTo x="21712" y="21000"/>
              <wp:lineTo x="21712" y="0"/>
              <wp:lineTo x="-224" y="0"/>
            </wp:wrapPolygon>
          </wp:wrapTight>
          <wp:docPr id="2" name="Image 2" descr="..\..\k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..\kp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697" t="23170" r="8679" b="30072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snapToGrid w:val="0"/>
        <w:color w:val="000000"/>
      </w:rPr>
      <w:t xml:space="preserve"> </w:t>
    </w:r>
    <w:r>
      <w:rPr>
        <w:rFonts w:ascii="Verdana" w:hAnsi="Verdana"/>
        <w:snapToGrid w:val="0"/>
        <w:color w:val="000000"/>
        <w:sz w:val="20"/>
      </w:rPr>
      <w:t>KP1</w:t>
    </w:r>
  </w:p>
  <w:p w14:paraId="5850BD24" w14:textId="77777777" w:rsidR="00D83486" w:rsidRDefault="00A822D8">
    <w:pPr>
      <w:pStyle w:val="En-tte"/>
      <w:jc w:val="right"/>
    </w:pPr>
    <w:r>
      <w:rPr>
        <w:rFonts w:ascii="Verdana" w:hAnsi="Verdana"/>
        <w:snapToGrid w:val="0"/>
        <w:color w:val="000000"/>
        <w:sz w:val="20"/>
      </w:rPr>
      <w:t>MIN - Bâtiment D</w:t>
    </w:r>
    <w:r>
      <w:rPr>
        <w:rFonts w:ascii="Verdana" w:hAnsi="Verdana"/>
        <w:snapToGrid w:val="0"/>
        <w:color w:val="000000"/>
        <w:sz w:val="20"/>
      </w:rPr>
      <w:br/>
      <w:t>135, avenue Pierre Sémard</w:t>
    </w:r>
    <w:r>
      <w:rPr>
        <w:rFonts w:ascii="Verdana" w:hAnsi="Verdana"/>
        <w:snapToGrid w:val="0"/>
        <w:color w:val="000000"/>
        <w:sz w:val="20"/>
      </w:rPr>
      <w:br/>
      <w:t>84000 AVIGNON</w:t>
    </w:r>
    <w:r>
      <w:rPr>
        <w:rFonts w:ascii="Verdana" w:hAnsi="Verdana"/>
        <w:snapToGrid w:val="0"/>
        <w:color w:val="000000"/>
        <w:sz w:val="20"/>
      </w:rPr>
      <w:br/>
      <w:t>Tel. : 0810 124 164</w:t>
    </w:r>
    <w:r>
      <w:rPr>
        <w:noProof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F6798"/>
    <w:multiLevelType w:val="hybridMultilevel"/>
    <w:tmpl w:val="B8BA5C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D8"/>
    <w:rsid w:val="000259E6"/>
    <w:rsid w:val="000E7358"/>
    <w:rsid w:val="001A2F4B"/>
    <w:rsid w:val="002404EA"/>
    <w:rsid w:val="00294C82"/>
    <w:rsid w:val="0041608C"/>
    <w:rsid w:val="00463FDD"/>
    <w:rsid w:val="00491A83"/>
    <w:rsid w:val="004D7938"/>
    <w:rsid w:val="00595687"/>
    <w:rsid w:val="005F54A6"/>
    <w:rsid w:val="00617ED6"/>
    <w:rsid w:val="00647260"/>
    <w:rsid w:val="0065123A"/>
    <w:rsid w:val="0066090A"/>
    <w:rsid w:val="006B04AD"/>
    <w:rsid w:val="006F5E07"/>
    <w:rsid w:val="006F7E8A"/>
    <w:rsid w:val="008119BB"/>
    <w:rsid w:val="008B4375"/>
    <w:rsid w:val="00905DD8"/>
    <w:rsid w:val="00975790"/>
    <w:rsid w:val="009A0AE6"/>
    <w:rsid w:val="009B191E"/>
    <w:rsid w:val="00A2144E"/>
    <w:rsid w:val="00A61C97"/>
    <w:rsid w:val="00A6794A"/>
    <w:rsid w:val="00A822D8"/>
    <w:rsid w:val="00A93FB7"/>
    <w:rsid w:val="00AF2DAD"/>
    <w:rsid w:val="00B84595"/>
    <w:rsid w:val="00D80CAD"/>
    <w:rsid w:val="00D83486"/>
    <w:rsid w:val="00DC67EE"/>
    <w:rsid w:val="00E131D9"/>
    <w:rsid w:val="00E65D38"/>
    <w:rsid w:val="00E76B75"/>
    <w:rsid w:val="00F47BBD"/>
    <w:rsid w:val="00F82481"/>
    <w:rsid w:val="00F92F8A"/>
    <w:rsid w:val="00F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B373F25"/>
  <w15:docId w15:val="{EF6A7B56-5FE9-42BE-BE42-C9673413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486"/>
    <w:rPr>
      <w:sz w:val="24"/>
      <w:szCs w:val="24"/>
    </w:rPr>
  </w:style>
  <w:style w:type="paragraph" w:styleId="Titre1">
    <w:name w:val="heading 1"/>
    <w:basedOn w:val="Normal"/>
    <w:next w:val="Normal"/>
    <w:qFormat/>
    <w:rsid w:val="00D83486"/>
    <w:pPr>
      <w:keepNext/>
      <w:outlineLvl w:val="0"/>
    </w:pPr>
    <w:rPr>
      <w:rFonts w:ascii="Verdana" w:hAnsi="Verdana"/>
      <w:b/>
      <w:bCs/>
      <w:sz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D83486"/>
    <w:rPr>
      <w:rFonts w:ascii="Verdana" w:hAnsi="Verdana"/>
      <w:sz w:val="20"/>
    </w:rPr>
  </w:style>
  <w:style w:type="paragraph" w:styleId="NormalWeb">
    <w:name w:val="Normal (Web)"/>
    <w:basedOn w:val="Normal"/>
    <w:semiHidden/>
    <w:rsid w:val="00D83486"/>
    <w:pPr>
      <w:spacing w:before="100" w:beforeAutospacing="1" w:after="100" w:afterAutospacing="1"/>
    </w:pPr>
  </w:style>
  <w:style w:type="paragraph" w:styleId="Titre">
    <w:name w:val="Title"/>
    <w:basedOn w:val="Normal"/>
    <w:qFormat/>
    <w:rsid w:val="00D83486"/>
    <w:pPr>
      <w:jc w:val="center"/>
    </w:pPr>
    <w:rPr>
      <w:rFonts w:ascii="Verdana" w:hAnsi="Verdana"/>
      <w:b/>
      <w:bCs/>
    </w:rPr>
  </w:style>
  <w:style w:type="paragraph" w:styleId="Sansinterligne">
    <w:name w:val="No Spacing"/>
    <w:qFormat/>
    <w:rsid w:val="00D83486"/>
    <w:rPr>
      <w:rFonts w:ascii="Calibri" w:eastAsia="Calibri" w:hAnsi="Calibri"/>
      <w:sz w:val="22"/>
      <w:szCs w:val="22"/>
      <w:lang w:eastAsia="en-US"/>
    </w:rPr>
  </w:style>
  <w:style w:type="character" w:customStyle="1" w:styleId="TitreCar">
    <w:name w:val="Titre Car"/>
    <w:basedOn w:val="Policepardfaut"/>
    <w:rsid w:val="00D83486"/>
    <w:rPr>
      <w:rFonts w:ascii="Verdana" w:hAnsi="Verdana"/>
      <w:b/>
      <w:bCs/>
      <w:sz w:val="24"/>
      <w:szCs w:val="24"/>
    </w:rPr>
  </w:style>
  <w:style w:type="paragraph" w:styleId="En-tte">
    <w:name w:val="header"/>
    <w:basedOn w:val="Normal"/>
    <w:semiHidden/>
    <w:rsid w:val="00D8348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D8348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03</vt:lpstr>
    </vt:vector>
  </TitlesOfParts>
  <Company>KP1</Company>
  <LinksUpToDate>false</LinksUpToDate>
  <CharactersWithSpaces>1179</CharactersWithSpaces>
  <SharedDoc>false</SharedDoc>
  <HLinks>
    <vt:vector size="6" baseType="variant">
      <vt:variant>
        <vt:i4>7471212</vt:i4>
      </vt:variant>
      <vt:variant>
        <vt:i4>-1</vt:i4>
      </vt:variant>
      <vt:variant>
        <vt:i4>2050</vt:i4>
      </vt:variant>
      <vt:variant>
        <vt:i4>1</vt:i4>
      </vt:variant>
      <vt:variant>
        <vt:lpwstr>..\..\kp1.JPG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creator>KP1</dc:creator>
  <cp:lastModifiedBy>DECUYPER, Camille</cp:lastModifiedBy>
  <cp:revision>10</cp:revision>
  <cp:lastPrinted>2013-02-12T18:34:00Z</cp:lastPrinted>
  <dcterms:created xsi:type="dcterms:W3CDTF">2021-03-02T14:37:00Z</dcterms:created>
  <dcterms:modified xsi:type="dcterms:W3CDTF">2021-03-25T15:48:00Z</dcterms:modified>
</cp:coreProperties>
</file>